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2019年6月，联合国再生能源咨询机构REN21发布《2019年全球可再生能源现状报告》，这是自2005年来该机构发布的第15期年度报告，报告详细分析了2018年全球可再生能源发展现状、政策框架、投资趋势、能源系统整合和使能技术发展，以及能源效率等方面的情况。从中可以看出，可再生能源发电量占比不断提高，但在供暖和制冷、交通运输等部门的应用发展仍然缓慢。越来越多的国家开始制定支持可再生能源发展的政策和目标，但全球投资尤其是发展中国家的投资有放缓趋势。赛迪智库材料工业研究所对该报告进行了编译，期望对我国有关部门有所帮助。</w:t>
      </w:r>
    </w:p>
    <w:p>
      <w:pPr>
        <w:ind w:firstLine="42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【关键词】可再生能源 政策制定 行业现状 趋势</w:t>
      </w:r>
    </w:p>
    <w:p>
      <w:pPr>
        <w:rPr>
          <w:rFonts w:hint="eastAsia" w:ascii="仿宋" w:hAnsi="仿宋" w:eastAsia="仿宋" w:cs="仿宋"/>
          <w:sz w:val="28"/>
          <w:szCs w:val="28"/>
          <w:lang w:val="en-US" w:eastAsia="zh-CN"/>
        </w:rPr>
      </w:pPr>
    </w:p>
    <w:p>
      <w:pPr>
        <w:numPr>
          <w:ilvl w:val="0"/>
          <w:numId w:val="1"/>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全球可再生能源市场发展现状</w:t>
      </w:r>
    </w:p>
    <w:p>
      <w:pPr>
        <w:numPr>
          <w:ilvl w:val="0"/>
          <w:numId w:val="2"/>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总体情况</w:t>
      </w:r>
    </w:p>
    <w:p>
      <w:pPr>
        <w:numPr>
          <w:ilvl w:val="0"/>
          <w:numId w:val="0"/>
        </w:numPr>
        <w:ind w:firstLine="42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2018年，全球可再生能源技术市场发展相对稳定（见表1）。可再生能源发电新增装机181吉瓦，与2017年的增速保持一致。同时，整合高比例可变可再生能源（VER）</w:t>
      </w:r>
      <w:r>
        <w:rPr>
          <w:rStyle w:val="8"/>
          <w:rFonts w:hint="eastAsia" w:ascii="仿宋" w:hAnsi="仿宋" w:eastAsia="仿宋" w:cs="仿宋"/>
          <w:sz w:val="28"/>
          <w:szCs w:val="28"/>
          <w:lang w:val="en-US" w:eastAsia="zh-CN"/>
        </w:rPr>
        <w:footnoteReference w:id="0"/>
      </w:r>
      <w:r>
        <w:rPr>
          <w:rFonts w:hint="eastAsia" w:ascii="仿宋" w:hAnsi="仿宋" w:eastAsia="仿宋" w:cs="仿宋"/>
          <w:sz w:val="28"/>
          <w:szCs w:val="28"/>
          <w:lang w:val="en-US" w:eastAsia="zh-CN"/>
        </w:rPr>
        <w:t>的国家数量不断上升。</w:t>
      </w:r>
    </w:p>
    <w:p>
      <w:pPr>
        <w:numPr>
          <w:ilvl w:val="0"/>
          <w:numId w:val="0"/>
        </w:numPr>
        <w:ind w:firstLine="42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与传统热力发电相比，可再生能源发电越来越具有成本竞争力，带动了市场发展。截止2018年，可再生能源发电约占全球发电量的26%以上（见图1）。发展目标的制定和稳健政策的实施有力推动了可再生能源发电的增长，但在供暖和制冷、交通运输等部门的应用发展仍然缓慢。</w:t>
      </w:r>
    </w:p>
    <w:p>
      <w:pPr>
        <w:numPr>
          <w:ilvl w:val="0"/>
          <w:numId w:val="0"/>
        </w:numPr>
        <w:ind w:firstLine="42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inline distT="0" distB="0" distL="114300" distR="114300">
            <wp:extent cx="4002405" cy="1861820"/>
            <wp:effectExtent l="0" t="0" r="17145" b="508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5"/>
                    <a:srcRect l="10237" t="53683" r="13850" b="21637"/>
                    <a:stretch>
                      <a:fillRect/>
                    </a:stretch>
                  </pic:blipFill>
                  <pic:spPr>
                    <a:xfrm>
                      <a:off x="0" y="0"/>
                      <a:ext cx="4002405" cy="1861820"/>
                    </a:xfrm>
                    <a:prstGeom prst="rect">
                      <a:avLst/>
                    </a:prstGeom>
                  </pic:spPr>
                </pic:pic>
              </a:graphicData>
            </a:graphic>
          </wp:inline>
        </w:drawing>
      </w:r>
    </w:p>
    <w:p>
      <w:pPr>
        <w:numPr>
          <w:ilvl w:val="0"/>
          <w:numId w:val="0"/>
        </w:numPr>
        <w:ind w:firstLine="42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2018年，各国在制定脱碳路径和政策框架方面继续取得进展。越来越多地方政府成为领导者，提出了比国家层面更强有力的脱碳目标。发展中国家和新兴经济体继续加大在可再生能源发面的部署，分布式可再生能源系统进一步扩大，以帮助偏远地区家庭获得能源。</w:t>
      </w:r>
    </w:p>
    <w:p>
      <w:pPr>
        <w:numPr>
          <w:ilvl w:val="0"/>
          <w:numId w:val="0"/>
        </w:numPr>
        <w:ind w:firstLine="42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私营部门通过采购和投资推动可再生能源发展。2018年，企业可再生能源采购量增加一倍以上，可再生能源遍布全球。全球可再生能源投资额比上一年有所下降，但发展中国家和新兴经济体再次贡献了一半以上投资。2018年，可再生能源行业全球就业总人数（直接和间接）约为1100万人。</w:t>
      </w:r>
    </w:p>
    <w:p>
      <w:pPr>
        <w:numPr>
          <w:ilvl w:val="0"/>
          <w:numId w:val="0"/>
        </w:numPr>
        <w:ind w:firstLine="42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截止2017年，可再生能源消费约占最终能源消费总量的18.1%。现代可再生能源</w:t>
      </w:r>
      <w:r>
        <w:rPr>
          <w:rStyle w:val="8"/>
          <w:rFonts w:hint="eastAsia" w:ascii="仿宋" w:hAnsi="仿宋" w:eastAsia="仿宋" w:cs="仿宋"/>
          <w:sz w:val="28"/>
          <w:szCs w:val="28"/>
          <w:lang w:val="en-US" w:eastAsia="zh-CN"/>
        </w:rPr>
        <w:footnoteReference w:id="1"/>
      </w:r>
      <w:r>
        <w:rPr>
          <w:rFonts w:hint="eastAsia" w:ascii="仿宋" w:hAnsi="仿宋" w:eastAsia="仿宋" w:cs="仿宋"/>
          <w:sz w:val="28"/>
          <w:szCs w:val="28"/>
          <w:lang w:val="en-US" w:eastAsia="zh-CN"/>
        </w:rPr>
        <w:t>占10.6%，同比增长4.4%。随着终端部门对可再生电力的使用持续增长，可再生能源的发展机会越来越多。能源系统的整合引起了政策制定者的关注，电池存储，热泵和电动汽车等使能技术市场也有所增长，但仍缺乏直接有效支持电力、供暖和制冷以及交通运输部门融合的着呢观测措施。</w:t>
      </w:r>
    </w:p>
    <w:p>
      <w:pPr>
        <w:numPr>
          <w:ilvl w:val="0"/>
          <w:numId w:val="0"/>
        </w:numPr>
        <w:ind w:firstLine="42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尽管各国在推动可再生能源发展方面取得一些建站，但仍未能实现《巴黎协定》和“可持续发展目标 7”中设定的目标。2018年，由于化石燃料消费量的增加，全球能源相关的碳排放量增长约1.7%。全球化石燃料使用补贴同比增长11%。化石燃料公司继续花费数亿美元游说各方推迟、控制或阻止气候变化政策，以及发放广告影响公众舆论。</w:t>
      </w:r>
    </w:p>
    <w:p>
      <w:pPr>
        <w:numPr>
          <w:ilvl w:val="0"/>
          <w:numId w:val="0"/>
        </w:numPr>
        <w:ind w:firstLine="42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表1：2018年可再生能源指数</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0"/>
        <w:gridCol w:w="1350"/>
        <w:gridCol w:w="885"/>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shd w:val="clear" w:color="auto" w:fill="CFCECE" w:themeFill="background2" w:themeFillShade="E5"/>
            <w:vAlign w:val="top"/>
          </w:tcPr>
          <w:p>
            <w:pPr>
              <w:numPr>
                <w:ilvl w:val="0"/>
                <w:numId w:val="0"/>
              </w:num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投资</w:t>
            </w:r>
          </w:p>
        </w:tc>
        <w:tc>
          <w:tcPr>
            <w:tcW w:w="1350" w:type="dxa"/>
            <w:shd w:val="clear" w:color="auto" w:fill="CFCECE" w:themeFill="background2" w:themeFillShade="E5"/>
            <w:vAlign w:val="center"/>
          </w:tcPr>
          <w:p>
            <w:pPr>
              <w:numPr>
                <w:ilvl w:val="0"/>
                <w:numId w:val="0"/>
              </w:num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单位</w:t>
            </w:r>
          </w:p>
        </w:tc>
        <w:tc>
          <w:tcPr>
            <w:tcW w:w="885" w:type="dxa"/>
            <w:shd w:val="clear" w:color="auto" w:fill="CFCECE" w:themeFill="background2" w:themeFillShade="E5"/>
            <w:vAlign w:val="center"/>
          </w:tcPr>
          <w:p>
            <w:pPr>
              <w:numPr>
                <w:ilvl w:val="0"/>
                <w:numId w:val="0"/>
              </w:num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2017</w:t>
            </w:r>
          </w:p>
        </w:tc>
        <w:tc>
          <w:tcPr>
            <w:tcW w:w="877" w:type="dxa"/>
            <w:shd w:val="clear" w:color="auto" w:fill="CFCECE" w:themeFill="background2" w:themeFillShade="E5"/>
            <w:vAlign w:val="center"/>
          </w:tcPr>
          <w:p>
            <w:pPr>
              <w:numPr>
                <w:ilvl w:val="0"/>
                <w:numId w:val="0"/>
              </w:num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可再生能源发电和冉连的新增投资（年度）</w:t>
            </w:r>
          </w:p>
        </w:tc>
        <w:tc>
          <w:tcPr>
            <w:tcW w:w="135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美元</w:t>
            </w:r>
          </w:p>
        </w:tc>
        <w:tc>
          <w:tcPr>
            <w:tcW w:w="88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326</w:t>
            </w:r>
          </w:p>
        </w:tc>
        <w:tc>
          <w:tcPr>
            <w:tcW w:w="877"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shd w:val="clear" w:color="auto" w:fill="CFCECE" w:themeFill="background2" w:themeFillShade="E5"/>
            <w:vAlign w:val="top"/>
          </w:tcPr>
          <w:p>
            <w:pPr>
              <w:numPr>
                <w:ilvl w:val="0"/>
                <w:numId w:val="0"/>
              </w:num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发电</w:t>
            </w:r>
          </w:p>
        </w:tc>
        <w:tc>
          <w:tcPr>
            <w:tcW w:w="1350" w:type="dxa"/>
            <w:shd w:val="clear" w:color="auto" w:fill="CFCECE" w:themeFill="background2" w:themeFillShade="E5"/>
            <w:vAlign w:val="center"/>
          </w:tcPr>
          <w:p>
            <w:pPr>
              <w:numPr>
                <w:ilvl w:val="0"/>
                <w:numId w:val="0"/>
              </w:numPr>
              <w:jc w:val="center"/>
              <w:rPr>
                <w:rFonts w:hint="eastAsia" w:ascii="仿宋" w:hAnsi="仿宋" w:eastAsia="仿宋" w:cs="仿宋"/>
                <w:b w:val="0"/>
                <w:bCs w:val="0"/>
                <w:sz w:val="28"/>
                <w:szCs w:val="28"/>
                <w:vertAlign w:val="baseline"/>
                <w:lang w:val="en-US" w:eastAsia="zh-CN"/>
              </w:rPr>
            </w:pPr>
          </w:p>
        </w:tc>
        <w:tc>
          <w:tcPr>
            <w:tcW w:w="885" w:type="dxa"/>
            <w:shd w:val="clear" w:color="auto" w:fill="CFCECE" w:themeFill="background2" w:themeFillShade="E5"/>
            <w:vAlign w:val="center"/>
          </w:tcPr>
          <w:p>
            <w:pPr>
              <w:numPr>
                <w:ilvl w:val="0"/>
                <w:numId w:val="0"/>
              </w:numPr>
              <w:jc w:val="center"/>
              <w:rPr>
                <w:rFonts w:hint="eastAsia" w:ascii="仿宋" w:hAnsi="仿宋" w:eastAsia="仿宋" w:cs="仿宋"/>
                <w:b w:val="0"/>
                <w:bCs w:val="0"/>
                <w:sz w:val="28"/>
                <w:szCs w:val="28"/>
                <w:vertAlign w:val="baseline"/>
                <w:lang w:val="en-US" w:eastAsia="zh-CN"/>
              </w:rPr>
            </w:pPr>
          </w:p>
        </w:tc>
        <w:tc>
          <w:tcPr>
            <w:tcW w:w="877" w:type="dxa"/>
            <w:shd w:val="clear" w:color="auto" w:fill="CFCECE" w:themeFill="background2" w:themeFillShade="E5"/>
            <w:vAlign w:val="center"/>
          </w:tcPr>
          <w:p>
            <w:pPr>
              <w:numPr>
                <w:ilvl w:val="0"/>
                <w:numId w:val="0"/>
              </w:numPr>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可再生能源发电容量（包括水电）</w:t>
            </w:r>
          </w:p>
        </w:tc>
        <w:tc>
          <w:tcPr>
            <w:tcW w:w="135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吉瓦</w:t>
            </w:r>
          </w:p>
        </w:tc>
        <w:tc>
          <w:tcPr>
            <w:tcW w:w="88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2197</w:t>
            </w:r>
          </w:p>
        </w:tc>
        <w:tc>
          <w:tcPr>
            <w:tcW w:w="877"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可再生能源发电容量（不包括水电）</w:t>
            </w:r>
          </w:p>
        </w:tc>
        <w:tc>
          <w:tcPr>
            <w:tcW w:w="135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吉瓦</w:t>
            </w:r>
          </w:p>
        </w:tc>
        <w:tc>
          <w:tcPr>
            <w:tcW w:w="88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1081</w:t>
            </w:r>
          </w:p>
        </w:tc>
        <w:tc>
          <w:tcPr>
            <w:tcW w:w="877"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水电容量</w:t>
            </w:r>
          </w:p>
        </w:tc>
        <w:tc>
          <w:tcPr>
            <w:tcW w:w="135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吉瓦</w:t>
            </w:r>
          </w:p>
        </w:tc>
        <w:tc>
          <w:tcPr>
            <w:tcW w:w="88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1112</w:t>
            </w:r>
          </w:p>
        </w:tc>
        <w:tc>
          <w:tcPr>
            <w:tcW w:w="877"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风电容量</w:t>
            </w:r>
          </w:p>
        </w:tc>
        <w:tc>
          <w:tcPr>
            <w:tcW w:w="135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吉瓦</w:t>
            </w:r>
          </w:p>
        </w:tc>
        <w:tc>
          <w:tcPr>
            <w:tcW w:w="88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540</w:t>
            </w:r>
          </w:p>
        </w:tc>
        <w:tc>
          <w:tcPr>
            <w:tcW w:w="877"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太阳能光伏容量</w:t>
            </w:r>
          </w:p>
        </w:tc>
        <w:tc>
          <w:tcPr>
            <w:tcW w:w="135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吉瓦</w:t>
            </w:r>
          </w:p>
        </w:tc>
        <w:tc>
          <w:tcPr>
            <w:tcW w:w="88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405</w:t>
            </w:r>
          </w:p>
        </w:tc>
        <w:tc>
          <w:tcPr>
            <w:tcW w:w="877"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生物电容量</w:t>
            </w:r>
          </w:p>
        </w:tc>
        <w:tc>
          <w:tcPr>
            <w:tcW w:w="135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吉瓦</w:t>
            </w:r>
          </w:p>
        </w:tc>
        <w:tc>
          <w:tcPr>
            <w:tcW w:w="88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121</w:t>
            </w:r>
          </w:p>
        </w:tc>
        <w:tc>
          <w:tcPr>
            <w:tcW w:w="877"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地热发电容量</w:t>
            </w:r>
          </w:p>
        </w:tc>
        <w:tc>
          <w:tcPr>
            <w:tcW w:w="135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吉瓦</w:t>
            </w:r>
          </w:p>
        </w:tc>
        <w:tc>
          <w:tcPr>
            <w:tcW w:w="88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12.8</w:t>
            </w:r>
          </w:p>
        </w:tc>
        <w:tc>
          <w:tcPr>
            <w:tcW w:w="877"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聚光太阳能热发电（CSP）容量</w:t>
            </w:r>
          </w:p>
        </w:tc>
        <w:tc>
          <w:tcPr>
            <w:tcW w:w="135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吉瓦</w:t>
            </w:r>
          </w:p>
        </w:tc>
        <w:tc>
          <w:tcPr>
            <w:tcW w:w="88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4.9</w:t>
            </w:r>
          </w:p>
        </w:tc>
        <w:tc>
          <w:tcPr>
            <w:tcW w:w="877"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海洋电力容量</w:t>
            </w:r>
          </w:p>
        </w:tc>
        <w:tc>
          <w:tcPr>
            <w:tcW w:w="135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吉瓦</w:t>
            </w:r>
          </w:p>
        </w:tc>
        <w:tc>
          <w:tcPr>
            <w:tcW w:w="88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4.9</w:t>
            </w:r>
          </w:p>
        </w:tc>
        <w:tc>
          <w:tcPr>
            <w:tcW w:w="877"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生物电发电（年度）</w:t>
            </w:r>
          </w:p>
        </w:tc>
        <w:tc>
          <w:tcPr>
            <w:tcW w:w="135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太瓦</w:t>
            </w:r>
          </w:p>
        </w:tc>
        <w:tc>
          <w:tcPr>
            <w:tcW w:w="88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532</w:t>
            </w:r>
          </w:p>
        </w:tc>
        <w:tc>
          <w:tcPr>
            <w:tcW w:w="877"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shd w:val="clear" w:color="auto" w:fill="CFCECE" w:themeFill="background2" w:themeFillShade="E5"/>
            <w:vAlign w:val="top"/>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bCs/>
                <w:sz w:val="28"/>
                <w:szCs w:val="28"/>
                <w:vertAlign w:val="baseline"/>
                <w:lang w:val="en-US" w:eastAsia="zh-CN"/>
              </w:rPr>
              <w:t>供暖</w:t>
            </w:r>
          </w:p>
        </w:tc>
        <w:tc>
          <w:tcPr>
            <w:tcW w:w="1350" w:type="dxa"/>
            <w:shd w:val="clear" w:color="auto" w:fill="CFCECE" w:themeFill="background2" w:themeFillShade="E5"/>
            <w:vAlign w:val="center"/>
          </w:tcPr>
          <w:p>
            <w:pPr>
              <w:numPr>
                <w:ilvl w:val="0"/>
                <w:numId w:val="0"/>
              </w:numPr>
              <w:jc w:val="center"/>
              <w:rPr>
                <w:rFonts w:hint="eastAsia" w:ascii="仿宋" w:hAnsi="仿宋" w:eastAsia="仿宋" w:cs="仿宋"/>
                <w:b w:val="0"/>
                <w:bCs w:val="0"/>
                <w:sz w:val="28"/>
                <w:szCs w:val="28"/>
                <w:vertAlign w:val="baseline"/>
                <w:lang w:val="en-US" w:eastAsia="zh-CN"/>
              </w:rPr>
            </w:pPr>
          </w:p>
        </w:tc>
        <w:tc>
          <w:tcPr>
            <w:tcW w:w="885" w:type="dxa"/>
            <w:shd w:val="clear" w:color="auto" w:fill="CFCECE" w:themeFill="background2" w:themeFillShade="E5"/>
            <w:vAlign w:val="center"/>
          </w:tcPr>
          <w:p>
            <w:pPr>
              <w:numPr>
                <w:ilvl w:val="0"/>
                <w:numId w:val="0"/>
              </w:numPr>
              <w:jc w:val="center"/>
              <w:rPr>
                <w:rFonts w:hint="eastAsia" w:ascii="仿宋" w:hAnsi="仿宋" w:eastAsia="仿宋" w:cs="仿宋"/>
                <w:b w:val="0"/>
                <w:bCs w:val="0"/>
                <w:sz w:val="28"/>
                <w:szCs w:val="28"/>
                <w:vertAlign w:val="baseline"/>
                <w:lang w:val="en-US" w:eastAsia="zh-CN"/>
              </w:rPr>
            </w:pPr>
          </w:p>
        </w:tc>
        <w:tc>
          <w:tcPr>
            <w:tcW w:w="877" w:type="dxa"/>
            <w:shd w:val="clear" w:color="auto" w:fill="CFCECE" w:themeFill="background2" w:themeFillShade="E5"/>
            <w:vAlign w:val="center"/>
          </w:tcPr>
          <w:p>
            <w:pPr>
              <w:numPr>
                <w:ilvl w:val="0"/>
                <w:numId w:val="0"/>
              </w:numPr>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太阳能热水容量</w:t>
            </w:r>
          </w:p>
        </w:tc>
        <w:tc>
          <w:tcPr>
            <w:tcW w:w="135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吉瓦兆卡</w:t>
            </w:r>
          </w:p>
        </w:tc>
        <w:tc>
          <w:tcPr>
            <w:tcW w:w="88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472</w:t>
            </w:r>
          </w:p>
        </w:tc>
        <w:tc>
          <w:tcPr>
            <w:tcW w:w="877"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shd w:val="clear" w:color="auto" w:fill="CFCECE" w:themeFill="background2" w:themeFillShade="E5"/>
            <w:vAlign w:val="top"/>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bCs/>
                <w:sz w:val="28"/>
                <w:szCs w:val="28"/>
                <w:vertAlign w:val="baseline"/>
                <w:lang w:val="en-US" w:eastAsia="zh-CN"/>
              </w:rPr>
              <w:t>交通运输</w:t>
            </w:r>
          </w:p>
        </w:tc>
        <w:tc>
          <w:tcPr>
            <w:tcW w:w="1350" w:type="dxa"/>
            <w:shd w:val="clear" w:color="auto" w:fill="CFCECE" w:themeFill="background2" w:themeFillShade="E5"/>
            <w:vAlign w:val="center"/>
          </w:tcPr>
          <w:p>
            <w:pPr>
              <w:numPr>
                <w:ilvl w:val="0"/>
                <w:numId w:val="0"/>
              </w:numPr>
              <w:jc w:val="center"/>
              <w:rPr>
                <w:rFonts w:hint="eastAsia" w:ascii="仿宋" w:hAnsi="仿宋" w:eastAsia="仿宋" w:cs="仿宋"/>
                <w:b w:val="0"/>
                <w:bCs w:val="0"/>
                <w:sz w:val="28"/>
                <w:szCs w:val="28"/>
                <w:vertAlign w:val="baseline"/>
                <w:lang w:val="en-US" w:eastAsia="zh-CN"/>
              </w:rPr>
            </w:pPr>
          </w:p>
        </w:tc>
        <w:tc>
          <w:tcPr>
            <w:tcW w:w="885" w:type="dxa"/>
            <w:shd w:val="clear" w:color="auto" w:fill="CFCECE" w:themeFill="background2" w:themeFillShade="E5"/>
            <w:vAlign w:val="center"/>
          </w:tcPr>
          <w:p>
            <w:pPr>
              <w:numPr>
                <w:ilvl w:val="0"/>
                <w:numId w:val="0"/>
              </w:numPr>
              <w:jc w:val="center"/>
              <w:rPr>
                <w:rFonts w:hint="eastAsia" w:ascii="仿宋" w:hAnsi="仿宋" w:eastAsia="仿宋" w:cs="仿宋"/>
                <w:b w:val="0"/>
                <w:bCs w:val="0"/>
                <w:sz w:val="28"/>
                <w:szCs w:val="28"/>
                <w:vertAlign w:val="baseline"/>
                <w:lang w:val="en-US" w:eastAsia="zh-CN"/>
              </w:rPr>
            </w:pPr>
          </w:p>
        </w:tc>
        <w:tc>
          <w:tcPr>
            <w:tcW w:w="877" w:type="dxa"/>
            <w:shd w:val="clear" w:color="auto" w:fill="CFCECE" w:themeFill="background2" w:themeFillShade="E5"/>
            <w:vAlign w:val="center"/>
          </w:tcPr>
          <w:p>
            <w:pPr>
              <w:numPr>
                <w:ilvl w:val="0"/>
                <w:numId w:val="0"/>
              </w:numPr>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乙醇产量（年度）</w:t>
            </w:r>
          </w:p>
        </w:tc>
        <w:tc>
          <w:tcPr>
            <w:tcW w:w="135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十亿升</w:t>
            </w:r>
          </w:p>
        </w:tc>
        <w:tc>
          <w:tcPr>
            <w:tcW w:w="88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104</w:t>
            </w:r>
          </w:p>
        </w:tc>
        <w:tc>
          <w:tcPr>
            <w:tcW w:w="877"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脂肪酸甲酯（FAME）生物柴油产量（年度）</w:t>
            </w:r>
          </w:p>
        </w:tc>
        <w:tc>
          <w:tcPr>
            <w:tcW w:w="135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十亿升</w:t>
            </w:r>
          </w:p>
        </w:tc>
        <w:tc>
          <w:tcPr>
            <w:tcW w:w="88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33</w:t>
            </w:r>
          </w:p>
        </w:tc>
        <w:tc>
          <w:tcPr>
            <w:tcW w:w="877"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氢化植物油（HVO）生物柴油产量（年度）</w:t>
            </w:r>
          </w:p>
        </w:tc>
        <w:tc>
          <w:tcPr>
            <w:tcW w:w="135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十亿升</w:t>
            </w:r>
          </w:p>
        </w:tc>
        <w:tc>
          <w:tcPr>
            <w:tcW w:w="88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6.2</w:t>
            </w:r>
          </w:p>
        </w:tc>
        <w:tc>
          <w:tcPr>
            <w:tcW w:w="877"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shd w:val="clear" w:color="auto" w:fill="CFCECE" w:themeFill="background2" w:themeFillShade="E5"/>
            <w:vAlign w:val="top"/>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bCs/>
                <w:sz w:val="28"/>
                <w:szCs w:val="28"/>
                <w:vertAlign w:val="baseline"/>
                <w:lang w:val="en-US" w:eastAsia="zh-CN"/>
              </w:rPr>
              <w:t>政策</w:t>
            </w:r>
          </w:p>
        </w:tc>
        <w:tc>
          <w:tcPr>
            <w:tcW w:w="1350" w:type="dxa"/>
            <w:shd w:val="clear" w:color="auto" w:fill="CFCECE" w:themeFill="background2" w:themeFillShade="E5"/>
            <w:vAlign w:val="center"/>
          </w:tcPr>
          <w:p>
            <w:pPr>
              <w:numPr>
                <w:ilvl w:val="0"/>
                <w:numId w:val="0"/>
              </w:numPr>
              <w:jc w:val="center"/>
              <w:rPr>
                <w:rFonts w:hint="eastAsia" w:ascii="仿宋" w:hAnsi="仿宋" w:eastAsia="仿宋" w:cs="仿宋"/>
                <w:b w:val="0"/>
                <w:bCs w:val="0"/>
                <w:sz w:val="28"/>
                <w:szCs w:val="28"/>
                <w:vertAlign w:val="baseline"/>
                <w:lang w:val="en-US" w:eastAsia="zh-CN"/>
              </w:rPr>
            </w:pPr>
          </w:p>
        </w:tc>
        <w:tc>
          <w:tcPr>
            <w:tcW w:w="885" w:type="dxa"/>
            <w:shd w:val="clear" w:color="auto" w:fill="CFCECE" w:themeFill="background2" w:themeFillShade="E5"/>
            <w:vAlign w:val="center"/>
          </w:tcPr>
          <w:p>
            <w:pPr>
              <w:numPr>
                <w:ilvl w:val="0"/>
                <w:numId w:val="0"/>
              </w:numPr>
              <w:jc w:val="center"/>
              <w:rPr>
                <w:rFonts w:hint="eastAsia" w:ascii="仿宋" w:hAnsi="仿宋" w:eastAsia="仿宋" w:cs="仿宋"/>
                <w:b w:val="0"/>
                <w:bCs w:val="0"/>
                <w:sz w:val="28"/>
                <w:szCs w:val="28"/>
                <w:vertAlign w:val="baseline"/>
                <w:lang w:val="en-US" w:eastAsia="zh-CN"/>
              </w:rPr>
            </w:pPr>
          </w:p>
        </w:tc>
        <w:tc>
          <w:tcPr>
            <w:tcW w:w="877" w:type="dxa"/>
            <w:shd w:val="clear" w:color="auto" w:fill="CFCECE" w:themeFill="background2" w:themeFillShade="E5"/>
            <w:vAlign w:val="center"/>
          </w:tcPr>
          <w:p>
            <w:pPr>
              <w:numPr>
                <w:ilvl w:val="0"/>
                <w:numId w:val="0"/>
              </w:numPr>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制定了国家/州/省可再生能源目标的国家</w:t>
            </w:r>
          </w:p>
        </w:tc>
        <w:tc>
          <w:tcPr>
            <w:tcW w:w="135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w:t>
            </w:r>
          </w:p>
        </w:tc>
        <w:tc>
          <w:tcPr>
            <w:tcW w:w="88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179</w:t>
            </w:r>
          </w:p>
        </w:tc>
        <w:tc>
          <w:tcPr>
            <w:tcW w:w="877"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在初级或最终能源目标中包括100%使用可再生能源目标的国家</w:t>
            </w:r>
          </w:p>
        </w:tc>
        <w:tc>
          <w:tcPr>
            <w:tcW w:w="135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w:t>
            </w:r>
          </w:p>
        </w:tc>
        <w:tc>
          <w:tcPr>
            <w:tcW w:w="88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c>
          <w:tcPr>
            <w:tcW w:w="877"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制定了100%可再生取暖和制冷目标的国家</w:t>
            </w:r>
          </w:p>
        </w:tc>
        <w:tc>
          <w:tcPr>
            <w:tcW w:w="135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w:t>
            </w:r>
          </w:p>
        </w:tc>
        <w:tc>
          <w:tcPr>
            <w:tcW w:w="88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c>
          <w:tcPr>
            <w:tcW w:w="877"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制定了100%可再生交通目标的国家</w:t>
            </w:r>
          </w:p>
        </w:tc>
        <w:tc>
          <w:tcPr>
            <w:tcW w:w="135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w:t>
            </w:r>
          </w:p>
        </w:tc>
        <w:tc>
          <w:tcPr>
            <w:tcW w:w="88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c>
          <w:tcPr>
            <w:tcW w:w="877"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制定了100%可再生电力目标的国家</w:t>
            </w:r>
          </w:p>
        </w:tc>
        <w:tc>
          <w:tcPr>
            <w:tcW w:w="135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w:t>
            </w:r>
          </w:p>
        </w:tc>
        <w:tc>
          <w:tcPr>
            <w:tcW w:w="88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57</w:t>
            </w:r>
          </w:p>
        </w:tc>
        <w:tc>
          <w:tcPr>
            <w:tcW w:w="877"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制定了取暖义务/目标的州/省/国家</w:t>
            </w:r>
          </w:p>
        </w:tc>
        <w:tc>
          <w:tcPr>
            <w:tcW w:w="135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w:t>
            </w:r>
          </w:p>
        </w:tc>
        <w:tc>
          <w:tcPr>
            <w:tcW w:w="88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19</w:t>
            </w:r>
          </w:p>
        </w:tc>
        <w:tc>
          <w:tcPr>
            <w:tcW w:w="877"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制定了生物燃料目标的州/省/国家</w:t>
            </w:r>
          </w:p>
        </w:tc>
        <w:tc>
          <w:tcPr>
            <w:tcW w:w="135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w:t>
            </w:r>
          </w:p>
        </w:tc>
        <w:tc>
          <w:tcPr>
            <w:tcW w:w="88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70</w:t>
            </w:r>
          </w:p>
        </w:tc>
        <w:tc>
          <w:tcPr>
            <w:tcW w:w="877"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制定了上网电价补贴政策的州/省/国家/地区</w:t>
            </w:r>
          </w:p>
        </w:tc>
        <w:tc>
          <w:tcPr>
            <w:tcW w:w="135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w:t>
            </w:r>
          </w:p>
        </w:tc>
        <w:tc>
          <w:tcPr>
            <w:tcW w:w="88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112</w:t>
            </w:r>
          </w:p>
        </w:tc>
        <w:tc>
          <w:tcPr>
            <w:tcW w:w="877"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制定RPS/配额政策的州/省/国家</w:t>
            </w:r>
          </w:p>
        </w:tc>
        <w:tc>
          <w:tcPr>
            <w:tcW w:w="135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w:t>
            </w:r>
          </w:p>
        </w:tc>
        <w:tc>
          <w:tcPr>
            <w:tcW w:w="88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33</w:t>
            </w:r>
          </w:p>
        </w:tc>
        <w:tc>
          <w:tcPr>
            <w:tcW w:w="877"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招标国家（2018年举行）</w:t>
            </w:r>
          </w:p>
        </w:tc>
        <w:tc>
          <w:tcPr>
            <w:tcW w:w="135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w:t>
            </w:r>
          </w:p>
        </w:tc>
        <w:tc>
          <w:tcPr>
            <w:tcW w:w="88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29</w:t>
            </w:r>
          </w:p>
        </w:tc>
        <w:tc>
          <w:tcPr>
            <w:tcW w:w="877"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0" w:type="dxa"/>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招标国家（累计）</w:t>
            </w:r>
          </w:p>
        </w:tc>
        <w:tc>
          <w:tcPr>
            <w:tcW w:w="135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w:t>
            </w:r>
          </w:p>
        </w:tc>
        <w:tc>
          <w:tcPr>
            <w:tcW w:w="88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84</w:t>
            </w:r>
          </w:p>
        </w:tc>
        <w:tc>
          <w:tcPr>
            <w:tcW w:w="877"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98</w:t>
            </w:r>
          </w:p>
        </w:tc>
      </w:tr>
    </w:tbl>
    <w:p>
      <w:pPr>
        <w:numPr>
          <w:ilvl w:val="0"/>
          <w:numId w:val="0"/>
        </w:numPr>
        <w:ind w:firstLine="42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资料来源：《2019年全球可再生能源现状报告》</w:t>
      </w:r>
    </w:p>
    <w:p>
      <w:pPr>
        <w:numPr>
          <w:ilvl w:val="0"/>
          <w:numId w:val="0"/>
        </w:numPr>
        <w:ind w:firstLine="420"/>
        <w:rPr>
          <w:rFonts w:hint="eastAsia" w:ascii="仿宋" w:hAnsi="仿宋" w:eastAsia="仿宋" w:cs="仿宋"/>
          <w:sz w:val="28"/>
          <w:szCs w:val="28"/>
          <w:lang w:val="en-US" w:eastAsia="zh-CN"/>
        </w:rPr>
      </w:pPr>
    </w:p>
    <w:p>
      <w:pPr>
        <w:numPr>
          <w:ilvl w:val="0"/>
          <w:numId w:val="3"/>
        </w:numPr>
        <w:ind w:firstLine="42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供暖和制冷</w:t>
      </w:r>
    </w:p>
    <w:p>
      <w:pPr>
        <w:numPr>
          <w:ilvl w:val="0"/>
          <w:numId w:val="0"/>
        </w:num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由于缺乏政策支持，可再生能源在供暖和制冷部门的应用发展仍然缓慢。2016年，现代可再生能源满足了全球约10%的供暖和制冷需求，但其行业增长缓慢。尽管供暖和制冷部门能源需求约占最终能源需求总量的一半，但是对这方面的政策关注仍然不足。2018年，只有47个国家制定了可再生能源供暖和制冷目标，而制定监管政策的国家数量从21个降至20个。国家层面以下各级政府开始认识到增加可再生能源在该部门份额的紧迫性，制定了针对供暖和制冷领域的有效政策（如建筑能源法规）。能源系统整合是推动建筑和工业可再生能源发展的重要机遇，要采取将可再生能源和能源效率结合起来的政策办法，以抑制供热需求的增长，并增加现代可再生能源技术的应用。</w:t>
      </w:r>
    </w:p>
    <w:p>
      <w:pPr>
        <w:numPr>
          <w:ilvl w:val="0"/>
          <w:numId w:val="0"/>
        </w:numPr>
        <w:ind w:firstLine="420" w:firstLineChars="0"/>
        <w:rPr>
          <w:rFonts w:hint="eastAsia" w:ascii="仿宋" w:hAnsi="仿宋" w:eastAsia="仿宋" w:cs="仿宋"/>
          <w:sz w:val="28"/>
          <w:szCs w:val="28"/>
          <w:lang w:val="en-US" w:eastAsia="zh-CN"/>
        </w:rPr>
      </w:pPr>
    </w:p>
    <w:p>
      <w:pPr>
        <w:numPr>
          <w:ilvl w:val="0"/>
          <w:numId w:val="3"/>
        </w:numPr>
        <w:ind w:firstLine="42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交通运输</w:t>
      </w:r>
    </w:p>
    <w:p>
      <w:pPr>
        <w:numPr>
          <w:ilvl w:val="0"/>
          <w:numId w:val="0"/>
        </w:num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再生能源在交通运输部门的渗透率仍然很低，主要以生物燃料为主，但电动汽车市场增长显著。2018年，可再生能源在交通运输部门中的占比较上年略有增长，达到3.3%，其中大部分为液体生物燃料。然而，该部门电气化程度的加深促进了可再生能源的进一步整合。尽管2018年全球乙醇和生物柴油产量有所增加，但由于政策的不确定型和航空等市场可再生燃料开发进展缓慢等因素，交通运输用生物燃料增长仍受限。2018年，铁路、航空和海运等行业提出了一些新的发展目标和建议，表现出积极的发展态势，推动了可再生能源的发展和碳减排。而得益于加强大气污染治理带来的发展需求，全球电动汽车市场发展较快，与2017年相比，全球电动客车数量增加63%，越来越多的城市开始使用电动公共汽车。</w:t>
      </w:r>
    </w:p>
    <w:p>
      <w:pPr>
        <w:numPr>
          <w:ilvl w:val="0"/>
          <w:numId w:val="0"/>
        </w:numPr>
        <w:ind w:firstLine="420" w:firstLineChars="0"/>
        <w:rPr>
          <w:rFonts w:hint="eastAsia" w:ascii="仿宋" w:hAnsi="仿宋" w:eastAsia="仿宋" w:cs="仿宋"/>
          <w:sz w:val="28"/>
          <w:szCs w:val="28"/>
          <w:lang w:val="en-US" w:eastAsia="zh-CN"/>
        </w:rPr>
      </w:pPr>
    </w:p>
    <w:p>
      <w:pPr>
        <w:numPr>
          <w:ilvl w:val="0"/>
          <w:numId w:val="3"/>
        </w:numPr>
        <w:ind w:firstLine="42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电力</w:t>
      </w:r>
    </w:p>
    <w:p>
      <w:pPr>
        <w:numPr>
          <w:ilvl w:val="0"/>
          <w:numId w:val="0"/>
        </w:num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再生能源逐步扩大在电力领域的应用，2018年，全球可再生能源发电装机容量达到2378吉瓦，新增装机181吉瓦，增速开始趋于平缓（见图2）。可再生能源新增装机容量已经连续4年超过化石燃料和核能。其中，太阳能光伏新增装机约100吉瓦，占可再生能源新增装机总量的55%，其次是风力发电（28%）和水电（11%）。可再生能源装机容量占全球总装机容量的33%以上。2018年，90多个国家新增至少1吉瓦可再生能源装机容量，至少30个国家/地区的可再生能源装机容量超过10吉瓦。部分地区风能和太阳能光伏发电占比进一步增加，而且越来越多国家电力结构中可变可再生能源占比超过20%。</w:t>
      </w:r>
    </w:p>
    <w:p>
      <w:pPr>
        <w:numPr>
          <w:ilvl w:val="0"/>
          <w:numId w:val="0"/>
        </w:numPr>
        <w:ind w:firstLine="42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图2：2012-2018年全球可再生能源发电年新增装机容量</w:t>
      </w:r>
    </w:p>
    <w:p>
      <w:pPr>
        <w:numPr>
          <w:ilvl w:val="0"/>
          <w:numId w:val="0"/>
        </w:num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inline distT="0" distB="0" distL="114300" distR="114300">
            <wp:extent cx="5271135" cy="3014345"/>
            <wp:effectExtent l="0" t="0" r="5715" b="146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71135" cy="3014345"/>
                    </a:xfrm>
                    <a:prstGeom prst="rect">
                      <a:avLst/>
                    </a:prstGeom>
                    <a:noFill/>
                    <a:ln>
                      <a:noFill/>
                    </a:ln>
                  </pic:spPr>
                </pic:pic>
              </a:graphicData>
            </a:graphic>
          </wp:inline>
        </w:drawing>
      </w:r>
    </w:p>
    <w:p>
      <w:pPr>
        <w:numPr>
          <w:ilvl w:val="0"/>
          <w:numId w:val="0"/>
        </w:numPr>
        <w:ind w:firstLine="420" w:firstLineChars="0"/>
        <w:rPr>
          <w:rFonts w:hint="eastAsia" w:ascii="仿宋" w:hAnsi="仿宋" w:eastAsia="仿宋" w:cs="仿宋"/>
          <w:sz w:val="28"/>
          <w:szCs w:val="28"/>
          <w:lang w:val="en-US" w:eastAsia="zh-CN"/>
        </w:rPr>
      </w:pPr>
    </w:p>
    <w:p>
      <w:pPr>
        <w:numPr>
          <w:ilvl w:val="0"/>
          <w:numId w:val="2"/>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细分行业</w:t>
      </w:r>
    </w:p>
    <w:p>
      <w:pPr>
        <w:numPr>
          <w:ilvl w:val="0"/>
          <w:numId w:val="4"/>
        </w:numPr>
        <w:ind w:left="420"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生物能</w:t>
      </w:r>
    </w:p>
    <w:p>
      <w:pPr>
        <w:numPr>
          <w:ilvl w:val="0"/>
          <w:numId w:val="0"/>
        </w:num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现代生物能源在全球可再生能源供给中的占比最大。2017年，现代生物能源消费量约占全球最终能源消费量的5%，约占可再生能源消费总量的一半。其中，生物能源在供暖和制冷领域的应用比例最高，为5%，其次是交通运输（3%）和电力（2.1%）部门。不过，生物能源在电力和交通运输部门应用增长最快，而在供暖领域稍显滞后。</w:t>
      </w:r>
    </w:p>
    <w:p>
      <w:pPr>
        <w:numPr>
          <w:ilvl w:val="0"/>
          <w:numId w:val="0"/>
        </w:num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从区域来看，欧盟是全球最大的现代生物能取暖消费地区。由于2018年欧盟实施了可再生能源指令，使其继续在应用现代生物能源取暖方面保持领先地位。从国家来看，中国则继续保持全球最大的生物能发电过领导地位，其次是美国、巴西、印度和德国。生物燃料的生产以美国和巴西为主，2018年，这两国的产量达到全球的69%。</w:t>
      </w:r>
    </w:p>
    <w:p>
      <w:pPr>
        <w:numPr>
          <w:ilvl w:val="0"/>
          <w:numId w:val="0"/>
        </w:numPr>
        <w:ind w:firstLine="420" w:firstLineChars="0"/>
        <w:rPr>
          <w:rFonts w:hint="eastAsia" w:ascii="仿宋" w:hAnsi="仿宋" w:eastAsia="仿宋" w:cs="仿宋"/>
          <w:sz w:val="28"/>
          <w:szCs w:val="28"/>
          <w:lang w:val="en-US" w:eastAsia="zh-CN"/>
        </w:rPr>
      </w:pPr>
    </w:p>
    <w:p>
      <w:pPr>
        <w:numPr>
          <w:ilvl w:val="0"/>
          <w:numId w:val="4"/>
        </w:numPr>
        <w:ind w:left="420"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地热能发电和供暖</w:t>
      </w:r>
    </w:p>
    <w:p>
      <w:pPr>
        <w:numPr>
          <w:ilvl w:val="0"/>
          <w:numId w:val="0"/>
        </w:num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热能的发展缓慢增长，仅在两个国家的发电容量有所增加。2018年，全球地热能产量约为630千万亿焦耳，其中约一半为电力形式，达到89.3太瓦时，另一半为热量形式。2018年，全球地热发电总量为13.3吉瓦，新增约0.5吉瓦。土耳其和印度尼西亚两国约占新增装机容量的三分之二。2018年，对地热能的直接应用有所增长，尤其是在空间取暖领域，以欧洲和中国的市场为主。</w:t>
      </w:r>
    </w:p>
    <w:p>
      <w:pPr>
        <w:numPr>
          <w:ilvl w:val="0"/>
          <w:numId w:val="0"/>
        </w:numPr>
        <w:ind w:firstLine="420" w:firstLineChars="0"/>
        <w:rPr>
          <w:rFonts w:hint="eastAsia" w:ascii="仿宋" w:hAnsi="仿宋" w:eastAsia="仿宋" w:cs="仿宋"/>
          <w:sz w:val="28"/>
          <w:szCs w:val="28"/>
          <w:lang w:val="en-US" w:eastAsia="zh-CN"/>
        </w:rPr>
      </w:pPr>
    </w:p>
    <w:p>
      <w:pPr>
        <w:numPr>
          <w:ilvl w:val="0"/>
          <w:numId w:val="4"/>
        </w:numPr>
        <w:ind w:left="420"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水力发电</w:t>
      </w:r>
    </w:p>
    <w:p>
      <w:pPr>
        <w:numPr>
          <w:ilvl w:val="0"/>
          <w:numId w:val="0"/>
        </w:num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水里发电的特点是市场稳定，行业竞争日益激烈，对储能的需求不断增长。全球水电市场在2018年的增速和发展与上一年基本类似。2018年，全球装机总量达到1132吉瓦，新增约20吉瓦。每年全球水力发电量因天气模式和其他当地条件的变化而变化，2018年约为4210太瓦。总量排名前十位的国家依次是：中国、巴西、加拿大、美国、俄罗斯、印度、挪威、土耳其、日本和法国。十国产能占全球总产能的三分之二以上。</w:t>
      </w:r>
    </w:p>
    <w:p>
      <w:pPr>
        <w:numPr>
          <w:ilvl w:val="0"/>
          <w:numId w:val="0"/>
        </w:numPr>
        <w:ind w:firstLine="420" w:firstLineChars="0"/>
        <w:rPr>
          <w:rFonts w:hint="eastAsia" w:ascii="仿宋" w:hAnsi="仿宋" w:eastAsia="仿宋" w:cs="仿宋"/>
          <w:sz w:val="28"/>
          <w:szCs w:val="28"/>
          <w:lang w:val="en-US" w:eastAsia="zh-CN"/>
        </w:rPr>
      </w:pPr>
    </w:p>
    <w:p>
      <w:pPr>
        <w:numPr>
          <w:ilvl w:val="0"/>
          <w:numId w:val="4"/>
        </w:numPr>
        <w:ind w:left="420"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海洋发电</w:t>
      </w:r>
    </w:p>
    <w:p>
      <w:pPr>
        <w:numPr>
          <w:ilvl w:val="0"/>
          <w:numId w:val="0"/>
        </w:num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海洋发电的部分技术已接近实现商业化阶段，但仍需加强持续的政策支持和保持盈利。海洋发电是可再生能源市场中最小的部分，大多数项目为1兆瓦以下的示范和试验项目，规模较小。2018年净新增容量约2兆瓦，年末运营能力约532兆瓦。目前，全球都在进行海洋能源的开发，主要以欧洲为主，尤其是苏格兰海岸。海洋能源的资源掐你巨大，但是尽管经过数十年的努力，海洋能源在很大程度上仍属于未来发状态。</w:t>
      </w:r>
    </w:p>
    <w:p>
      <w:pPr>
        <w:numPr>
          <w:ilvl w:val="0"/>
          <w:numId w:val="0"/>
        </w:numPr>
        <w:ind w:firstLine="420" w:firstLineChars="0"/>
        <w:rPr>
          <w:rFonts w:hint="eastAsia" w:ascii="仿宋" w:hAnsi="仿宋" w:eastAsia="仿宋" w:cs="仿宋"/>
          <w:sz w:val="28"/>
          <w:szCs w:val="28"/>
          <w:lang w:val="en-US" w:eastAsia="zh-CN"/>
        </w:rPr>
      </w:pPr>
    </w:p>
    <w:p>
      <w:pPr>
        <w:numPr>
          <w:ilvl w:val="0"/>
          <w:numId w:val="4"/>
        </w:numPr>
        <w:ind w:left="420"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太阳能光伏</w:t>
      </w:r>
    </w:p>
    <w:p>
      <w:pPr>
        <w:numPr>
          <w:ilvl w:val="0"/>
          <w:numId w:val="0"/>
        </w:num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2018年，由于新兴市场需求的增长，太阳能光伏发电行业再次迎来强劲增长，全球年度发电容量首次超过100吉瓦（直流电），累积容量为505吉瓦，同比增加约25%，新兴国家和欧洲市场需求的高速增长，弥补了因2018年中国政策变化导致的大幅下滑。但亚洲的新装容量仍然使其他地区相形见绌。亚洲前三大市场（中国、印度和日本）出现下滑，但亚洲连续第六年在新装机容量方面超过所有其他地区。2018年，中国占全球新增容量的45%左右，2017年约为54%。2018年有11个国家新增容量超过1吉瓦，2017年和2016年分别为9和7个国家。到2018年底，至少有32个国家的累积容量达到1吉瓦或以上，高于一年前的29个国家。</w:t>
      </w:r>
    </w:p>
    <w:p>
      <w:pPr>
        <w:numPr>
          <w:ilvl w:val="0"/>
          <w:numId w:val="0"/>
        </w:numPr>
        <w:ind w:firstLine="420" w:firstLineChars="0"/>
        <w:rPr>
          <w:rFonts w:hint="eastAsia" w:ascii="仿宋" w:hAnsi="仿宋" w:eastAsia="仿宋" w:cs="仿宋"/>
          <w:sz w:val="28"/>
          <w:szCs w:val="28"/>
          <w:lang w:val="en-US" w:eastAsia="zh-CN"/>
        </w:rPr>
      </w:pPr>
    </w:p>
    <w:p>
      <w:pPr>
        <w:numPr>
          <w:ilvl w:val="0"/>
          <w:numId w:val="4"/>
        </w:numPr>
        <w:ind w:left="420"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聚光太阳能发电</w:t>
      </w:r>
    </w:p>
    <w:p>
      <w:pPr>
        <w:numPr>
          <w:ilvl w:val="0"/>
          <w:numId w:val="0"/>
        </w:num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新装聚光太阳能发电主要集中在新兴市场，同时新的产能也在酝酿中。2018年，全球聚光戴阳能热发电装机容量接近5.5吉瓦，同比增长约11%，预计将有550兆瓦的太阳能热发电上线，这是2014年以来的最大增幅。到2018年底，位于非洲、亚洲、中东和南美洲的10个国家正在建设中的聚光太阳能热发电项目管网达到约2吉瓦，大部分产能威昱阿拉伯联合酋长国（0.7吉瓦）和中国（略高于0.5吉瓦）。2018年底，在建的23座工厂中，除3座外，其他所有工厂都计划建设热能储存。到2018年底，运行的热能储存达到接近17吉瓦小时。</w:t>
      </w:r>
    </w:p>
    <w:p>
      <w:pPr>
        <w:numPr>
          <w:ilvl w:val="0"/>
          <w:numId w:val="0"/>
        </w:numPr>
        <w:ind w:firstLine="420" w:firstLineChars="0"/>
        <w:rPr>
          <w:rFonts w:hint="eastAsia" w:ascii="仿宋" w:hAnsi="仿宋" w:eastAsia="仿宋" w:cs="仿宋"/>
          <w:sz w:val="28"/>
          <w:szCs w:val="28"/>
          <w:lang w:val="en-US" w:eastAsia="zh-CN"/>
        </w:rPr>
      </w:pPr>
    </w:p>
    <w:p>
      <w:pPr>
        <w:numPr>
          <w:ilvl w:val="0"/>
          <w:numId w:val="4"/>
        </w:numPr>
        <w:ind w:left="420"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太阳能热力供暖和制冷</w:t>
      </w:r>
    </w:p>
    <w:p>
      <w:pPr>
        <w:numPr>
          <w:ilvl w:val="0"/>
          <w:numId w:val="0"/>
        </w:num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尽管全球装机容量下降，但是主要市场仍在增长，大型光伏系统几乎增长了一倍。2018年，全球戴阳能热装机容量新增约33.3吉瓦热，累积达到480吉瓦热，同比增长约2%。排名前二十的国家约占全球市场的94%。新增能装机容量中占比最大的是中国，达到74%。排名前二十的其他国家（除中国）共新增容量6.5吉瓦兆卡，同比增加4%。尽管中国仍占据增量的主导地位，但由于市场饱和，工程建设减少，2015-2018年间对住宅太阳能热水器的需求下降了44%。</w:t>
      </w:r>
    </w:p>
    <w:p>
      <w:pPr>
        <w:numPr>
          <w:ilvl w:val="0"/>
          <w:numId w:val="0"/>
        </w:numPr>
        <w:ind w:firstLine="420" w:firstLineChars="0"/>
        <w:rPr>
          <w:rFonts w:hint="eastAsia" w:ascii="仿宋" w:hAnsi="仿宋" w:eastAsia="仿宋" w:cs="仿宋"/>
          <w:sz w:val="28"/>
          <w:szCs w:val="28"/>
          <w:lang w:val="en-US" w:eastAsia="zh-CN"/>
        </w:rPr>
      </w:pPr>
    </w:p>
    <w:p>
      <w:pPr>
        <w:numPr>
          <w:ilvl w:val="0"/>
          <w:numId w:val="4"/>
        </w:numPr>
        <w:ind w:left="420"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风力发电</w:t>
      </w:r>
    </w:p>
    <w:p>
      <w:pPr>
        <w:numPr>
          <w:ilvl w:val="0"/>
          <w:numId w:val="0"/>
        </w:num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风力发电市场的特点是保持稳定的新增装机速度，价格下降，离岸风力发电的发展获得高度关注，在欧洲发展较为成功。2018年全球新增装机容量约51吉瓦，新增装机容量与2017年相比减少约4%。这是连续五年年度新增装机容量超过50吉瓦。2018年全球累计装机总量达到591吉瓦，累积装机总量与2017年相比增加9%。欧洲和印度风电市场在2017年发展创纪录后，到2018年都有所收缩，但其他几个地区和国家市场出现显著增长。非洲、东南亚、拉丁美洲和中东的新兴市场共占新装容量的近10%，高于上年的8%。2018年，至少47个国家实现新的风电项目全面商业运行。到年底，至少103个国家已开发出一定水平的商业风力发电能力，33个国家的运行容量超过1吉瓦。</w:t>
      </w:r>
    </w:p>
    <w:p>
      <w:pPr>
        <w:numPr>
          <w:ilvl w:val="0"/>
          <w:numId w:val="0"/>
        </w:numPr>
        <w:rPr>
          <w:rFonts w:hint="eastAsia" w:ascii="仿宋" w:hAnsi="仿宋" w:eastAsia="仿宋" w:cs="仿宋"/>
          <w:sz w:val="28"/>
          <w:szCs w:val="28"/>
          <w:lang w:val="en-US" w:eastAsia="zh-CN"/>
        </w:rPr>
      </w:pPr>
    </w:p>
    <w:p>
      <w:pPr>
        <w:numPr>
          <w:ilvl w:val="0"/>
          <w:numId w:val="2"/>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分布式可再生能源</w:t>
      </w:r>
    </w:p>
    <w:p>
      <w:pPr>
        <w:numPr>
          <w:ilvl w:val="0"/>
          <w:numId w:val="0"/>
        </w:num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为发展中国家和新兴经济体等偏远地区家庭提供现代能源服务方面，分布式可再生能源继续发挥重要作用。2017年，无法获得电力供应的全球人口减少到10亿以下，其中约61%的人居住在撒哈拉以南的非洲地区，约35%来自亚洲发展中国家。2017年仍有27亿人无法实现清洁烹饪，其中33%生活在撒哈拉以南的非洲地区，64%生活在亚洲发展中国家。</w:t>
      </w:r>
    </w:p>
    <w:p>
      <w:pPr>
        <w:numPr>
          <w:ilvl w:val="0"/>
          <w:numId w:val="0"/>
        </w:num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过五年的发展，分布式可再生能源越来越多地被用于发电。2017年，超过1.22亿人主要通过离网光伏系统获得电力供应。最然离网光伏主要由微型光伏系统主导，但附属大型光伏家庭系统的销量在2018年增长了77%，对电力需求不断增加。</w:t>
      </w:r>
    </w:p>
    <w:p>
      <w:pPr>
        <w:numPr>
          <w:ilvl w:val="0"/>
          <w:numId w:val="0"/>
        </w:num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近年来，分布式可再生能源系统的成功部分归功于创新的商业模式，使其成本低于化石燃料能源系统，从而帮助更多来自贫困和偏远地区的家庭获取能源。</w:t>
      </w:r>
    </w:p>
    <w:p>
      <w:pPr>
        <w:numPr>
          <w:ilvl w:val="0"/>
          <w:numId w:val="0"/>
        </w:num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2018年，离网电力部门吸引的企业投资创造了新的记录，达到5.12亿美元，同比增长22%。离网光伏部门的初创企业在2019年筹集了3.39亿美元，同比增长6%。小型电网部门在2018年进一步扩大，亚洲约有2000个小型电网在运营，非洲约800个。小型电网初创企业吸引了约5100万美元投资，同比下降18%。清洁烹饪解决方案的市场也在增长。2017年，清洁烹饪行业吸引了4000万美元的投资，比上年增长36%。</w:t>
      </w:r>
    </w:p>
    <w:p>
      <w:pPr>
        <w:numPr>
          <w:ilvl w:val="0"/>
          <w:numId w:val="0"/>
        </w:numPr>
        <w:rPr>
          <w:rFonts w:hint="eastAsia" w:ascii="仿宋" w:hAnsi="仿宋" w:eastAsia="仿宋" w:cs="仿宋"/>
          <w:sz w:val="28"/>
          <w:szCs w:val="28"/>
          <w:lang w:val="en-US" w:eastAsia="zh-CN"/>
        </w:rPr>
      </w:pPr>
    </w:p>
    <w:p>
      <w:pPr>
        <w:numPr>
          <w:ilvl w:val="0"/>
          <w:numId w:val="1"/>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政策框架</w:t>
      </w:r>
    </w:p>
    <w:p>
      <w:pPr>
        <w:numPr>
          <w:ilvl w:val="0"/>
          <w:numId w:val="0"/>
        </w:num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目前，各国可在神个能源政策框架尚不足以实现全球发展目标。各国支持电力发展的政策增多，但在供暖和制冷以及交通运输方面的政策仍欠缺。截止2018年，几乎所有国家都制定了支持可再生能源发展的政策和目标，并不断优化和调整（见图3）。在国家或州/省一级制定可再生能源发展目标的国家达到169个。地方政府往往是创新发展机制的先行者，提出了全部使用可再生能源或电力的目标。</w:t>
      </w:r>
    </w:p>
    <w:p>
      <w:pPr>
        <w:numPr>
          <w:ilvl w:val="0"/>
          <w:numId w:val="0"/>
        </w:numPr>
        <w:ind w:firstLine="42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图3：2004-2018年制定可再生能源监管政策和碳定价权政策国家数量</w:t>
      </w:r>
    </w:p>
    <w:p>
      <w:pPr>
        <w:numPr>
          <w:ilvl w:val="0"/>
          <w:numId w:val="0"/>
        </w:num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inline distT="0" distB="0" distL="114300" distR="114300">
            <wp:extent cx="5272405" cy="2885440"/>
            <wp:effectExtent l="0" t="0" r="4445"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272405" cy="2885440"/>
                    </a:xfrm>
                    <a:prstGeom prst="rect">
                      <a:avLst/>
                    </a:prstGeom>
                    <a:noFill/>
                    <a:ln>
                      <a:noFill/>
                    </a:ln>
                  </pic:spPr>
                </pic:pic>
              </a:graphicData>
            </a:graphic>
          </wp:inline>
        </w:drawing>
      </w:r>
    </w:p>
    <w:p>
      <w:pPr>
        <w:numPr>
          <w:ilvl w:val="0"/>
          <w:numId w:val="0"/>
        </w:num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政府部门正制定政策进一步整合可变可再生能源，从而解决供需问题，提高整个能源系统的灵活性。同时鼓励部门整合，加大对使能技术的部署，包括提供辅助电网服务的技术或侧重于电池存储等新兴技术。各国旨在治理气候变化而制定的政策，直接或间接地促进了可再生能源技术的发展。碳排放税和排放交易系统等一系列为实现气候目标而制定的政策机制，引起了人们对可再生能源的兴趣。截止2018年，至少有54项碳定价政策得到实施，其中有关排放交易系统的政策27项，有关碳排放税的政策27项。</w:t>
      </w:r>
    </w:p>
    <w:p>
      <w:pPr>
        <w:numPr>
          <w:ilvl w:val="0"/>
          <w:numId w:val="0"/>
        </w:numPr>
        <w:ind w:firstLine="420" w:firstLineChars="0"/>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供暖和制冷。</w:t>
      </w:r>
      <w:r>
        <w:rPr>
          <w:rFonts w:hint="eastAsia" w:ascii="仿宋" w:hAnsi="仿宋" w:eastAsia="仿宋" w:cs="仿宋"/>
          <w:b w:val="0"/>
          <w:bCs w:val="0"/>
          <w:sz w:val="28"/>
          <w:szCs w:val="28"/>
          <w:lang w:val="en-US" w:eastAsia="zh-CN"/>
        </w:rPr>
        <w:t>制定有关建筑和工业领域提高可再生能源和能源效率的政策尚未覆盖全球。2018年，设定供暖和制冷目标的国家数量有所下降。拥有可再生供暖和制冷监管政策的国家、州和省的数量下降到20个。支持可再生能源用于建筑和工业供暖和制冷的政策进展缓慢。建筑能源法是提高可再生能源生产和能源效率的主要政策。然而，在该行业，全球只有不到三分之一的国家实施了强制性能源法规，2018年，60%的建筑能源小寒凉均发生在缺乏能效政策的地区。</w:t>
      </w:r>
    </w:p>
    <w:p>
      <w:pPr>
        <w:numPr>
          <w:ilvl w:val="0"/>
          <w:numId w:val="0"/>
        </w:numPr>
        <w:ind w:firstLine="420" w:firstLineChars="0"/>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交通运输。</w:t>
      </w:r>
      <w:r>
        <w:rPr>
          <w:rFonts w:hint="eastAsia" w:ascii="仿宋" w:hAnsi="仿宋" w:eastAsia="仿宋" w:cs="仿宋"/>
          <w:b w:val="0"/>
          <w:bCs w:val="0"/>
          <w:sz w:val="28"/>
          <w:szCs w:val="28"/>
          <w:lang w:val="en-US" w:eastAsia="zh-CN"/>
        </w:rPr>
        <w:t>生物燃料是政策框架的核心组成部分。截止2018年，国家或州/省一级政府在该方面制定通用目标的国家有70个。支持可再生能源在电动汽车应用的直接政策十分有限。交通部门可再生能源政策仍主要侧重于公路交通。然而，随着电力和先进生物燃料在公路交通领域的应用增多，也带来了相关政策的出台。</w:t>
      </w:r>
    </w:p>
    <w:p>
      <w:pPr>
        <w:numPr>
          <w:ilvl w:val="0"/>
          <w:numId w:val="0"/>
        </w:numPr>
        <w:ind w:firstLine="420" w:firstLineChars="0"/>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电力。</w:t>
      </w:r>
      <w:r>
        <w:rPr>
          <w:rFonts w:hint="eastAsia" w:ascii="仿宋" w:hAnsi="仿宋" w:eastAsia="仿宋" w:cs="仿宋"/>
          <w:b w:val="0"/>
          <w:bCs w:val="0"/>
          <w:sz w:val="28"/>
          <w:szCs w:val="28"/>
          <w:lang w:val="en-US" w:eastAsia="zh-CN"/>
        </w:rPr>
        <w:t>越来越多的国家开始广泛采用拍卖的方式推动可再生能源在电力领域的应用。2018年，至少有48个国家（包括许多非洲国家）举行了拍卖活动（上一年为29个）。尽管许多国家转向拍卖，但上网电价补贴政策和包括可再生能源组合标准、静计量和财政措施等其他激励措施，仍是促进可再生能源开发和部署的关键。</w:t>
      </w:r>
    </w:p>
    <w:p>
      <w:pPr>
        <w:numPr>
          <w:ilvl w:val="0"/>
          <w:numId w:val="0"/>
        </w:numPr>
        <w:ind w:firstLine="420" w:firstLineChars="0"/>
        <w:rPr>
          <w:rFonts w:hint="eastAsia" w:ascii="仿宋" w:hAnsi="仿宋" w:eastAsia="仿宋" w:cs="仿宋"/>
          <w:sz w:val="28"/>
          <w:szCs w:val="28"/>
          <w:lang w:val="en-US" w:eastAsia="zh-CN"/>
        </w:rPr>
      </w:pPr>
    </w:p>
    <w:p>
      <w:pPr>
        <w:numPr>
          <w:ilvl w:val="0"/>
          <w:numId w:val="1"/>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投资趋势</w:t>
      </w:r>
    </w:p>
    <w:p>
      <w:pPr>
        <w:numPr>
          <w:ilvl w:val="0"/>
          <w:numId w:val="0"/>
        </w:num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受中国经济增幅下滑的影响，全球可再生能源领域投资下降。2018年，全球对可再生能源发电和燃料的投资额为2889亿美元（不包括50兆瓦以上的水电项目），比上一年减少了11%（见图4）。从2015年起，发展中国家和新兴国家的投资连续四年超过发达国家。2018年，包括中国在内的发展中国家和新兴国家的投资额达到1528亿美元，同比下降25%，发达国家投资额达到1361亿美元，同比提高11%。</w:t>
      </w:r>
    </w:p>
    <w:p>
      <w:pPr>
        <w:numPr>
          <w:ilvl w:val="0"/>
          <w:numId w:val="0"/>
        </w:numPr>
        <w:ind w:firstLine="42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图4：2008-2018年全球可再生能源发电和燃料投资额</w:t>
      </w:r>
    </w:p>
    <w:p>
      <w:pPr>
        <w:numPr>
          <w:ilvl w:val="0"/>
          <w:numId w:val="0"/>
        </w:numPr>
        <w:ind w:firstLine="420" w:firstLine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drawing>
          <wp:inline distT="0" distB="0" distL="114300" distR="114300">
            <wp:extent cx="5271135" cy="3270885"/>
            <wp:effectExtent l="0" t="0" r="5715" b="571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5271135" cy="3270885"/>
                    </a:xfrm>
                    <a:prstGeom prst="rect">
                      <a:avLst/>
                    </a:prstGeom>
                    <a:noFill/>
                    <a:ln>
                      <a:noFill/>
                    </a:ln>
                  </pic:spPr>
                </pic:pic>
              </a:graphicData>
            </a:graphic>
          </wp:inline>
        </w:drawing>
      </w:r>
    </w:p>
    <w:p>
      <w:pPr>
        <w:numPr>
          <w:ilvl w:val="0"/>
          <w:numId w:val="0"/>
        </w:numPr>
        <w:ind w:firstLine="420" w:firstLine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2018年，可再生能源发电新增装机（包括所有水电）的投资再次远远超过对化石和核能发电能力的投资。投资重点继续集中于太阳能，特别是太阳能光伏发电，该领域获得1397亿美元。风电场、太阳能园区等公用事业规模项目的资产融资总额达到2365亿美元。全球小于1兆瓦的小型太阳能光伏装置投资额为363亿美元，同比下降15%。</w:t>
      </w:r>
    </w:p>
    <w:p>
      <w:pPr>
        <w:numPr>
          <w:ilvl w:val="0"/>
          <w:numId w:val="0"/>
        </w:numPr>
        <w:ind w:firstLine="420" w:firstLine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各地可再生能源投资的发展各不相同（见表2）。2018年，欧洲、非洲和中东、亚洲（中国和印度除外）以及美国的投资额有所上升，而美洲（不包括美国，但包括巴西）、中国和印度的投资额有所下降。在针对可再生能源的所有融资（但不包括超过50兆瓦的水电）中，中国对可再生能源的投资占全球总量的32%，低于2017年的45%。其次是欧洲（21%），美国（17%）和亚洲-大洋洲（不包括中国和印度；15%）。其他占比较小的国家或地区包括印度（5%），非洲和中东（5%），美洲（不包括巴西和美国，3%）和巴西（1%）。</w:t>
      </w:r>
    </w:p>
    <w:p>
      <w:pPr>
        <w:numPr>
          <w:ilvl w:val="0"/>
          <w:numId w:val="0"/>
        </w:numPr>
        <w:ind w:firstLine="42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表2：2018年年度投资额/新增净装机容量/产量排行榜</w:t>
      </w:r>
    </w:p>
    <w:tbl>
      <w:tblPr>
        <w:tblStyle w:val="6"/>
        <w:tblW w:w="8985"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5"/>
        <w:gridCol w:w="1110"/>
        <w:gridCol w:w="1183"/>
        <w:gridCol w:w="1295"/>
        <w:gridCol w:w="1296"/>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55" w:type="dxa"/>
          </w:tcPr>
          <w:p>
            <w:pPr>
              <w:numPr>
                <w:ilvl w:val="0"/>
                <w:numId w:val="0"/>
              </w:numPr>
              <w:rPr>
                <w:rFonts w:hint="eastAsia" w:ascii="仿宋" w:hAnsi="仿宋" w:eastAsia="仿宋" w:cs="仿宋"/>
                <w:b/>
                <w:bCs/>
                <w:sz w:val="28"/>
                <w:szCs w:val="28"/>
                <w:vertAlign w:val="baseline"/>
                <w:lang w:val="en-US" w:eastAsia="zh-CN"/>
              </w:rPr>
            </w:pPr>
          </w:p>
        </w:tc>
        <w:tc>
          <w:tcPr>
            <w:tcW w:w="1110" w:type="dxa"/>
          </w:tcPr>
          <w:p>
            <w:pPr>
              <w:numPr>
                <w:ilvl w:val="0"/>
                <w:numId w:val="0"/>
              </w:num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1</w:t>
            </w:r>
          </w:p>
        </w:tc>
        <w:tc>
          <w:tcPr>
            <w:tcW w:w="1183" w:type="dxa"/>
          </w:tcPr>
          <w:p>
            <w:pPr>
              <w:numPr>
                <w:ilvl w:val="0"/>
                <w:numId w:val="0"/>
              </w:num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2</w:t>
            </w:r>
          </w:p>
        </w:tc>
        <w:tc>
          <w:tcPr>
            <w:tcW w:w="1295" w:type="dxa"/>
          </w:tcPr>
          <w:p>
            <w:pPr>
              <w:numPr>
                <w:ilvl w:val="0"/>
                <w:numId w:val="0"/>
              </w:num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3</w:t>
            </w:r>
          </w:p>
        </w:tc>
        <w:tc>
          <w:tcPr>
            <w:tcW w:w="1296" w:type="dxa"/>
          </w:tcPr>
          <w:p>
            <w:pPr>
              <w:numPr>
                <w:ilvl w:val="0"/>
                <w:numId w:val="0"/>
              </w:num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4</w:t>
            </w:r>
          </w:p>
        </w:tc>
        <w:tc>
          <w:tcPr>
            <w:tcW w:w="1446" w:type="dxa"/>
          </w:tcPr>
          <w:p>
            <w:pPr>
              <w:numPr>
                <w:ilvl w:val="0"/>
                <w:numId w:val="0"/>
              </w:num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55" w:type="dxa"/>
          </w:tcPr>
          <w:p>
            <w:pPr>
              <w:numPr>
                <w:ilvl w:val="0"/>
                <w:numId w:val="0"/>
              </w:numP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可再生能源发电和燃料投资×不包括50MW以上的水电项目）</w:t>
            </w:r>
          </w:p>
        </w:tc>
        <w:tc>
          <w:tcPr>
            <w:tcW w:w="111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中国</w:t>
            </w:r>
          </w:p>
        </w:tc>
        <w:tc>
          <w:tcPr>
            <w:tcW w:w="1183"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美国</w:t>
            </w:r>
          </w:p>
        </w:tc>
        <w:tc>
          <w:tcPr>
            <w:tcW w:w="129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日本</w:t>
            </w:r>
          </w:p>
        </w:tc>
        <w:tc>
          <w:tcPr>
            <w:tcW w:w="1296"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印度</w:t>
            </w:r>
          </w:p>
        </w:tc>
        <w:tc>
          <w:tcPr>
            <w:tcW w:w="1446"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澳大利亚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55" w:type="dxa"/>
          </w:tcPr>
          <w:p>
            <w:pPr>
              <w:numPr>
                <w:ilvl w:val="0"/>
                <w:numId w:val="0"/>
              </w:numP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单位GDP的可再生能源发电和燃料投资额</w:t>
            </w:r>
          </w:p>
        </w:tc>
        <w:tc>
          <w:tcPr>
            <w:tcW w:w="111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帕劳</w:t>
            </w:r>
          </w:p>
        </w:tc>
        <w:tc>
          <w:tcPr>
            <w:tcW w:w="1183"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吉布提</w:t>
            </w:r>
          </w:p>
        </w:tc>
        <w:tc>
          <w:tcPr>
            <w:tcW w:w="129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摩洛哥</w:t>
            </w:r>
          </w:p>
        </w:tc>
        <w:tc>
          <w:tcPr>
            <w:tcW w:w="2742" w:type="dxa"/>
            <w:gridSpan w:val="2"/>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冰岛/塞尔维亚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5" w:type="dxa"/>
          </w:tcPr>
          <w:p>
            <w:pPr>
              <w:numPr>
                <w:ilvl w:val="0"/>
                <w:numId w:val="0"/>
              </w:numP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地热发电容量</w:t>
            </w:r>
          </w:p>
        </w:tc>
        <w:tc>
          <w:tcPr>
            <w:tcW w:w="111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土耳其</w:t>
            </w:r>
          </w:p>
        </w:tc>
        <w:tc>
          <w:tcPr>
            <w:tcW w:w="1183"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印度尼西亚</w:t>
            </w:r>
          </w:p>
        </w:tc>
        <w:tc>
          <w:tcPr>
            <w:tcW w:w="129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美国</w:t>
            </w:r>
          </w:p>
        </w:tc>
        <w:tc>
          <w:tcPr>
            <w:tcW w:w="1296"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冰岛</w:t>
            </w:r>
          </w:p>
        </w:tc>
        <w:tc>
          <w:tcPr>
            <w:tcW w:w="1446"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新西兰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55" w:type="dxa"/>
          </w:tcPr>
          <w:p>
            <w:pPr>
              <w:numPr>
                <w:ilvl w:val="0"/>
                <w:numId w:val="0"/>
              </w:numP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水力发电容量</w:t>
            </w:r>
          </w:p>
        </w:tc>
        <w:tc>
          <w:tcPr>
            <w:tcW w:w="111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中国</w:t>
            </w:r>
          </w:p>
        </w:tc>
        <w:tc>
          <w:tcPr>
            <w:tcW w:w="1183"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巴西</w:t>
            </w:r>
          </w:p>
        </w:tc>
        <w:tc>
          <w:tcPr>
            <w:tcW w:w="129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巴基斯坦</w:t>
            </w:r>
          </w:p>
        </w:tc>
        <w:tc>
          <w:tcPr>
            <w:tcW w:w="1296"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土耳其</w:t>
            </w:r>
          </w:p>
        </w:tc>
        <w:tc>
          <w:tcPr>
            <w:tcW w:w="1446"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安哥拉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55" w:type="dxa"/>
          </w:tcPr>
          <w:p>
            <w:pPr>
              <w:numPr>
                <w:ilvl w:val="0"/>
                <w:numId w:val="0"/>
              </w:numP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太阳能发电容量</w:t>
            </w:r>
          </w:p>
        </w:tc>
        <w:tc>
          <w:tcPr>
            <w:tcW w:w="111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中国</w:t>
            </w:r>
          </w:p>
        </w:tc>
        <w:tc>
          <w:tcPr>
            <w:tcW w:w="2478" w:type="dxa"/>
            <w:gridSpan w:val="2"/>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印度/美国</w:t>
            </w:r>
          </w:p>
        </w:tc>
        <w:tc>
          <w:tcPr>
            <w:tcW w:w="1296"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日本</w:t>
            </w:r>
          </w:p>
        </w:tc>
        <w:tc>
          <w:tcPr>
            <w:tcW w:w="1446"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澳大利亚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55" w:type="dxa"/>
          </w:tcPr>
          <w:p>
            <w:pPr>
              <w:numPr>
                <w:ilvl w:val="0"/>
                <w:numId w:val="0"/>
              </w:numP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聚光太阳能热发电容量</w:t>
            </w:r>
          </w:p>
        </w:tc>
        <w:tc>
          <w:tcPr>
            <w:tcW w:w="2293" w:type="dxa"/>
            <w:gridSpan w:val="2"/>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中国/摩洛哥</w:t>
            </w:r>
          </w:p>
        </w:tc>
        <w:tc>
          <w:tcPr>
            <w:tcW w:w="129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南非</w:t>
            </w:r>
          </w:p>
        </w:tc>
        <w:tc>
          <w:tcPr>
            <w:tcW w:w="1296"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沙特阿拉伯</w:t>
            </w:r>
          </w:p>
        </w:tc>
        <w:tc>
          <w:tcPr>
            <w:tcW w:w="1446"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55" w:type="dxa"/>
          </w:tcPr>
          <w:p>
            <w:pPr>
              <w:numPr>
                <w:ilvl w:val="0"/>
                <w:numId w:val="0"/>
              </w:numP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风力发电容量</w:t>
            </w:r>
          </w:p>
        </w:tc>
        <w:tc>
          <w:tcPr>
            <w:tcW w:w="111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中国</w:t>
            </w:r>
          </w:p>
        </w:tc>
        <w:tc>
          <w:tcPr>
            <w:tcW w:w="1183"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美国</w:t>
            </w:r>
          </w:p>
        </w:tc>
        <w:tc>
          <w:tcPr>
            <w:tcW w:w="129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德国</w:t>
            </w:r>
          </w:p>
        </w:tc>
        <w:tc>
          <w:tcPr>
            <w:tcW w:w="1296"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印度</w:t>
            </w:r>
          </w:p>
        </w:tc>
        <w:tc>
          <w:tcPr>
            <w:tcW w:w="1446"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巴西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55" w:type="dxa"/>
          </w:tcPr>
          <w:p>
            <w:pPr>
              <w:numPr>
                <w:ilvl w:val="0"/>
                <w:numId w:val="0"/>
              </w:numP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太阳能热水供暖能力</w:t>
            </w:r>
          </w:p>
        </w:tc>
        <w:tc>
          <w:tcPr>
            <w:tcW w:w="111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中国</w:t>
            </w:r>
          </w:p>
        </w:tc>
        <w:tc>
          <w:tcPr>
            <w:tcW w:w="1183"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土耳其</w:t>
            </w:r>
          </w:p>
        </w:tc>
        <w:tc>
          <w:tcPr>
            <w:tcW w:w="129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印度</w:t>
            </w:r>
          </w:p>
        </w:tc>
        <w:tc>
          <w:tcPr>
            <w:tcW w:w="1296"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巴西</w:t>
            </w:r>
          </w:p>
        </w:tc>
        <w:tc>
          <w:tcPr>
            <w:tcW w:w="1446"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美国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55" w:type="dxa"/>
          </w:tcPr>
          <w:p>
            <w:pPr>
              <w:numPr>
                <w:ilvl w:val="0"/>
                <w:numId w:val="0"/>
              </w:numP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生物柴油产量</w:t>
            </w:r>
          </w:p>
        </w:tc>
        <w:tc>
          <w:tcPr>
            <w:tcW w:w="111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美国</w:t>
            </w:r>
          </w:p>
        </w:tc>
        <w:tc>
          <w:tcPr>
            <w:tcW w:w="1183"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巴西</w:t>
            </w:r>
          </w:p>
        </w:tc>
        <w:tc>
          <w:tcPr>
            <w:tcW w:w="129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印度尼西亚</w:t>
            </w:r>
          </w:p>
        </w:tc>
        <w:tc>
          <w:tcPr>
            <w:tcW w:w="1296"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德国</w:t>
            </w:r>
          </w:p>
        </w:tc>
        <w:tc>
          <w:tcPr>
            <w:tcW w:w="1446"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阿根廷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55" w:type="dxa"/>
          </w:tcPr>
          <w:p>
            <w:pPr>
              <w:numPr>
                <w:ilvl w:val="0"/>
                <w:numId w:val="0"/>
              </w:numP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乙醇产量</w:t>
            </w:r>
          </w:p>
        </w:tc>
        <w:tc>
          <w:tcPr>
            <w:tcW w:w="1110"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美国</w:t>
            </w:r>
          </w:p>
        </w:tc>
        <w:tc>
          <w:tcPr>
            <w:tcW w:w="1183"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巴西</w:t>
            </w:r>
          </w:p>
        </w:tc>
        <w:tc>
          <w:tcPr>
            <w:tcW w:w="1295"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中国</w:t>
            </w:r>
          </w:p>
        </w:tc>
        <w:tc>
          <w:tcPr>
            <w:tcW w:w="1296"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加拿大</w:t>
            </w:r>
          </w:p>
        </w:tc>
        <w:tc>
          <w:tcPr>
            <w:tcW w:w="1446" w:type="dxa"/>
            <w:vAlign w:val="center"/>
          </w:tcPr>
          <w:p>
            <w:pPr>
              <w:numPr>
                <w:ilvl w:val="0"/>
                <w:numId w:val="0"/>
              </w:num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泰国</w:t>
            </w:r>
          </w:p>
        </w:tc>
      </w:tr>
    </w:tbl>
    <w:p>
      <w:pPr>
        <w:numPr>
          <w:ilvl w:val="0"/>
          <w:numId w:val="0"/>
        </w:numPr>
        <w:ind w:firstLine="420" w:firstLineChars="0"/>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资料来源：《2019年全球可再生能源现状报告》</w:t>
      </w:r>
    </w:p>
    <w:p>
      <w:pPr>
        <w:numPr>
          <w:ilvl w:val="0"/>
          <w:numId w:val="0"/>
        </w:numPr>
        <w:ind w:firstLine="420" w:firstLineChars="0"/>
        <w:rPr>
          <w:rFonts w:hint="eastAsia" w:ascii="仿宋" w:hAnsi="仿宋" w:eastAsia="仿宋" w:cs="仿宋"/>
          <w:sz w:val="28"/>
          <w:szCs w:val="28"/>
          <w:lang w:val="en-US" w:eastAsia="zh-CN"/>
        </w:rPr>
      </w:pPr>
    </w:p>
    <w:p>
      <w:pPr>
        <w:numPr>
          <w:ilvl w:val="0"/>
          <w:numId w:val="1"/>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能源系统整合和使能技术</w:t>
      </w:r>
    </w:p>
    <w:p>
      <w:pPr>
        <w:numPr>
          <w:ilvl w:val="0"/>
          <w:numId w:val="0"/>
        </w:num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球可变可再生能源发展保持强劲增长。2018年，至少有9个国家的可变可再生能源发电狼占比超过20%，而一些国家的可变可再生能源普及率每年都在快速增长（见图5）。与此同时，储能、热泵和电动汽车的市场进一步扩大。</w:t>
      </w:r>
    </w:p>
    <w:p>
      <w:pPr>
        <w:numPr>
          <w:ilvl w:val="0"/>
          <w:numId w:val="0"/>
        </w:numPr>
        <w:ind w:firstLine="420" w:firstLineChars="0"/>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图5：2014、2016、2018年部分国家可变可再生能源发电比例</w:t>
      </w:r>
    </w:p>
    <w:p>
      <w:pPr>
        <w:numPr>
          <w:ilvl w:val="0"/>
          <w:numId w:val="0"/>
        </w:numPr>
        <w:ind w:firstLine="420" w:firstLineChars="0"/>
        <w:rPr>
          <w:rFonts w:hint="eastAsia" w:ascii="仿宋" w:hAnsi="仿宋" w:eastAsia="仿宋" w:cs="仿宋"/>
          <w:b w:val="0"/>
          <w:bCs w:val="0"/>
          <w:sz w:val="28"/>
          <w:szCs w:val="28"/>
          <w:lang w:val="en-US" w:eastAsia="zh-CN"/>
        </w:rPr>
      </w:pPr>
    </w:p>
    <w:p>
      <w:pPr>
        <w:numPr>
          <w:ilvl w:val="0"/>
          <w:numId w:val="0"/>
        </w:numPr>
        <w:ind w:firstLine="420" w:firstLine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电力部门通过采取一系列措施来适应可变可再生能</w:t>
      </w:r>
      <w:r>
        <w:rPr>
          <w:rFonts w:hint="eastAsia" w:ascii="仿宋" w:hAnsi="仿宋" w:eastAsia="仿宋" w:cs="仿宋"/>
          <w:b w:val="0"/>
          <w:bCs w:val="0"/>
          <w:sz w:val="28"/>
          <w:szCs w:val="28"/>
          <w:lang w:val="en-US" w:eastAsia="zh-CN"/>
        </w:rPr>
        <w:drawing>
          <wp:inline distT="0" distB="0" distL="114300" distR="114300">
            <wp:extent cx="5269865" cy="2464435"/>
            <wp:effectExtent l="0" t="0" r="6985" b="1206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5269865" cy="2464435"/>
                    </a:xfrm>
                    <a:prstGeom prst="rect">
                      <a:avLst/>
                    </a:prstGeom>
                    <a:noFill/>
                    <a:ln>
                      <a:noFill/>
                    </a:ln>
                  </pic:spPr>
                </pic:pic>
              </a:graphicData>
            </a:graphic>
          </wp:inline>
        </w:drawing>
      </w:r>
      <w:r>
        <w:rPr>
          <w:rFonts w:hint="eastAsia" w:ascii="仿宋" w:hAnsi="仿宋" w:eastAsia="仿宋" w:cs="仿宋"/>
          <w:b w:val="0"/>
          <w:bCs w:val="0"/>
          <w:sz w:val="28"/>
          <w:szCs w:val="28"/>
          <w:lang w:val="en-US" w:eastAsia="zh-CN"/>
        </w:rPr>
        <w:t>源占比增加的趋势。为解决电力消减和局部变化的问题，部分国家和地区将跨区域的电力系统连接起来。此外，还采取了对操作系统、法规好市场进行系统设计，增强电网，提高能源需求和供应的灵活性等措施。</w:t>
      </w:r>
    </w:p>
    <w:p>
      <w:pPr>
        <w:numPr>
          <w:ilvl w:val="0"/>
          <w:numId w:val="0"/>
        </w:numPr>
        <w:ind w:firstLine="420" w:firstLine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诸如储能、热泵和电动汽车等技术的发展，可进一步提高资源供给，帮助整合可变可再生资源在电力行业的应用，提高占比。此外，技术的发展还可带来供暖和交通运输领域的新需求，从而进一步增加这些部门中可再生能源供应，并在2018年实现了快死增长。</w:t>
      </w:r>
    </w:p>
    <w:p>
      <w:pPr>
        <w:numPr>
          <w:ilvl w:val="0"/>
          <w:numId w:val="0"/>
        </w:numPr>
        <w:ind w:firstLine="420" w:firstLine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储能技术可通过提高系统灵活性、削减和降低成本来扩大可变可再生能源的应用。抽水蓄能在全球储能存量中占比最大，2018年增加了1.9吉瓦，达到160吉瓦。2019年初，全球电池存储容量总计略高于3吉瓦，新增容量中近80%集中在5个国家。电表后端电池存储量也在增长，电池与可变可再生能源的直接耦合发电，特别是与太阳能光伏发电，继续增长。</w:t>
      </w:r>
    </w:p>
    <w:p>
      <w:pPr>
        <w:numPr>
          <w:ilvl w:val="0"/>
          <w:numId w:val="0"/>
        </w:numPr>
        <w:ind w:firstLine="420" w:firstLine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2018年，全球热泵市场继续增长。中国保持领先地位，而欧洲市场增长了12%，并已连续几年实现强劲增长。大型热泵广泛应用于区域供暖和制冷领域，这些技术可为电力系统灵活提供重要资源。由于制造商希望扩大产品线并进军新市场，因此发生了几起合并。</w:t>
      </w:r>
    </w:p>
    <w:p>
      <w:pPr>
        <w:numPr>
          <w:ilvl w:val="0"/>
          <w:numId w:val="0"/>
        </w:numPr>
        <w:ind w:firstLine="420" w:firstLine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电动汽车行业通过加大需求来整合可变可再生能源的应用。2018年，全球电动汽车库存超过510万辆，比2017年增长63%（见图6）。然而，电动汽车市场仍然高度集中，中国占全球电动汽车库存的近50%。2018年，加州首次试点使用可变可再生能源为电动汽车充电。2018年，全球范围内安装了超过10万个公共电动汽车充电点。制造商加大对双向充电的投资，并继续推进可变可再生能源在电动汽车领域的应用。</w:t>
      </w:r>
    </w:p>
    <w:p>
      <w:pPr>
        <w:numPr>
          <w:ilvl w:val="0"/>
          <w:numId w:val="0"/>
        </w:numPr>
        <w:ind w:firstLine="42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图6：2014-2018年全球电动车存量</w:t>
      </w:r>
    </w:p>
    <w:p>
      <w:pPr>
        <w:numPr>
          <w:ilvl w:val="0"/>
          <w:numId w:val="0"/>
        </w:numPr>
        <w:ind w:firstLine="42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drawing>
          <wp:inline distT="0" distB="0" distL="114300" distR="114300">
            <wp:extent cx="5270500" cy="2896235"/>
            <wp:effectExtent l="0" t="0" r="6350" b="1841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0"/>
                    <a:stretch>
                      <a:fillRect/>
                    </a:stretch>
                  </pic:blipFill>
                  <pic:spPr>
                    <a:xfrm>
                      <a:off x="0" y="0"/>
                      <a:ext cx="5270500" cy="2896235"/>
                    </a:xfrm>
                    <a:prstGeom prst="rect">
                      <a:avLst/>
                    </a:prstGeom>
                    <a:noFill/>
                    <a:ln>
                      <a:noFill/>
                    </a:ln>
                  </pic:spPr>
                </pic:pic>
              </a:graphicData>
            </a:graphic>
          </wp:inline>
        </w:drawing>
      </w:r>
    </w:p>
    <w:p>
      <w:pPr>
        <w:numPr>
          <w:ilvl w:val="0"/>
          <w:numId w:val="0"/>
        </w:numPr>
        <w:ind w:firstLine="420" w:firstLineChars="0"/>
        <w:rPr>
          <w:rFonts w:hint="eastAsia" w:ascii="仿宋" w:hAnsi="仿宋" w:eastAsia="仿宋" w:cs="仿宋"/>
          <w:sz w:val="28"/>
          <w:szCs w:val="28"/>
          <w:lang w:val="en-US" w:eastAsia="zh-CN"/>
        </w:rPr>
      </w:pPr>
    </w:p>
    <w:p>
      <w:pPr>
        <w:numPr>
          <w:ilvl w:val="0"/>
          <w:numId w:val="1"/>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能源效率</w:t>
      </w:r>
    </w:p>
    <w:p>
      <w:pPr>
        <w:numPr>
          <w:ilvl w:val="0"/>
          <w:numId w:val="0"/>
        </w:num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全球能源强度继续下降。2012-2017年，平均下降率约为2.2%（见图7）。而在此期间，全球经济增速是一次能源需求增速的三倍。</w:t>
      </w:r>
    </w:p>
    <w:p>
      <w:pPr>
        <w:numPr>
          <w:ilvl w:val="0"/>
          <w:numId w:val="0"/>
        </w:numPr>
        <w:ind w:firstLine="42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图7：2012-2017年全球一次能源强度和总供给量</w:t>
      </w:r>
    </w:p>
    <w:p>
      <w:pPr>
        <w:numPr>
          <w:ilvl w:val="0"/>
          <w:numId w:val="0"/>
        </w:numPr>
        <w:ind w:firstLine="420" w:firstLine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drawing>
          <wp:inline distT="0" distB="0" distL="114300" distR="114300">
            <wp:extent cx="5271770" cy="3235325"/>
            <wp:effectExtent l="0" t="0" r="5080" b="317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1"/>
                    <a:stretch>
                      <a:fillRect/>
                    </a:stretch>
                  </pic:blipFill>
                  <pic:spPr>
                    <a:xfrm>
                      <a:off x="0" y="0"/>
                      <a:ext cx="5271770" cy="3235325"/>
                    </a:xfrm>
                    <a:prstGeom prst="rect">
                      <a:avLst/>
                    </a:prstGeom>
                    <a:noFill/>
                    <a:ln>
                      <a:noFill/>
                    </a:ln>
                  </pic:spPr>
                </pic:pic>
              </a:graphicData>
            </a:graphic>
          </wp:inline>
        </w:drawing>
      </w:r>
      <w:bookmarkStart w:id="0" w:name="_GoBack"/>
      <w:bookmarkEnd w:id="0"/>
    </w:p>
    <w:p>
      <w:pPr>
        <w:numPr>
          <w:ilvl w:val="0"/>
          <w:numId w:val="0"/>
        </w:numPr>
        <w:ind w:firstLine="420" w:firstLine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一些成熟经济体的能源需求增长早已趋于平稳，甚至开始收缩。然而，尽管许多国家和各最终用途部门的能源效率不断提高，但在经济快速增长和能源供应得到改善的地区，能源总需求仍在上升。</w:t>
      </w:r>
    </w:p>
    <w:p>
      <w:pPr>
        <w:numPr>
          <w:ilvl w:val="0"/>
          <w:numId w:val="0"/>
        </w:numPr>
        <w:ind w:firstLine="420" w:firstLine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尽管建筑行业能源效率有所提高，但总的能源需求却有所增加，这主要是由于随着人口和收入的增加，全球对制冷的能源需求增速超过了建筑物的任何其他最终用途。2012-2017年间，交通能源需求也大幅增长，远远超过了提高车辆效率的影响。近年来，受结构变化和能效提高的影响，工业对能源的需求增速仅为工业活动的一般。充电的发展继续加强电动汽车和可变可再生能源之间的联系。</w:t>
      </w:r>
    </w:p>
    <w:p>
      <w:pPr>
        <w:numPr>
          <w:ilvl w:val="0"/>
          <w:numId w:val="0"/>
        </w:numPr>
        <w:ind w:firstLine="420" w:firstLineChars="0"/>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电力。</w:t>
      </w:r>
      <w:r>
        <w:rPr>
          <w:rFonts w:hint="eastAsia" w:ascii="仿宋" w:hAnsi="仿宋" w:eastAsia="仿宋" w:cs="仿宋"/>
          <w:b w:val="0"/>
          <w:bCs w:val="0"/>
          <w:sz w:val="28"/>
          <w:szCs w:val="28"/>
          <w:lang w:val="en-US" w:eastAsia="zh-CN"/>
        </w:rPr>
        <w:t>发电是决定全球一次能源效率的只要因素。世界主要能源消费（煤炭，天然气，石油和生物量）都用于发电。提高发电过程中一次能源效率的方法有两种：以是提高热电厂的效率，二是利用节能技术取代热）燃烧）发电，包括所有非热能可再生发电技术。在上述两种方法共同作用下，全球一次能源效率逐步提高。从2012年到2017年，所有发电（热能和非热能）效率增速从40.5%增长至42.8%，年均增速达到1.1%。</w:t>
      </w:r>
    </w:p>
    <w:p>
      <w:pPr>
        <w:numPr>
          <w:ilvl w:val="0"/>
          <w:numId w:val="0"/>
        </w:numPr>
        <w:ind w:firstLine="420" w:firstLineChars="0"/>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建筑。</w:t>
      </w:r>
      <w:r>
        <w:rPr>
          <w:rFonts w:hint="eastAsia" w:ascii="仿宋" w:hAnsi="仿宋" w:eastAsia="仿宋" w:cs="仿宋"/>
          <w:b w:val="0"/>
          <w:bCs w:val="0"/>
          <w:sz w:val="28"/>
          <w:szCs w:val="28"/>
          <w:lang w:val="en-US" w:eastAsia="zh-CN"/>
        </w:rPr>
        <w:t>建筑部门的能源消费占全部最终能源消费量的30%。在所有建筑能源需求中，电力需求占31%。全球制冷对能源的需求增长速度比建筑行业中任何其他最终用途的需求增长速度都快。2000-2017年间，建筑能源需求增长20%。在建筑行业，虽然有些地区的建筑能源使用效率比其他地区更高，但就平均而言，由于缺乏有效的政策支持和融资，以及行业惯性导致更高效技术的应用缓慢，全球并未有效提高能源效率。2000-2017年，建筑能源强度年均下降1.6%。与此同时，建筑总面积年均增长3%，几乎是建筑能源需求的2倍。</w:t>
      </w:r>
    </w:p>
    <w:p>
      <w:pPr>
        <w:numPr>
          <w:ilvl w:val="0"/>
          <w:numId w:val="0"/>
        </w:numPr>
        <w:ind w:firstLine="420" w:firstLineChars="0"/>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工业。</w:t>
      </w:r>
      <w:r>
        <w:rPr>
          <w:rFonts w:hint="eastAsia" w:ascii="仿宋" w:hAnsi="仿宋" w:eastAsia="仿宋" w:cs="仿宋"/>
          <w:b w:val="0"/>
          <w:bCs w:val="0"/>
          <w:sz w:val="28"/>
          <w:szCs w:val="28"/>
          <w:lang w:val="en-US" w:eastAsia="zh-CN"/>
        </w:rPr>
        <w:t>工业部门能源消费占全部最终能源消费量的29%。2012-2017年，工业部门的平均能源强度有所下降，年均约2.7%。从2010年到2016年，中国占了全球工业能耗全部经增长的三分之二。亚洲工业能源强度的保持高速增长，年均达到4.1%。2000-2017年间，主要经济体的工业产值几乎翻了一番，而得益于经济结构变化和能效改善，其工业能源需求增长不到一半。</w:t>
      </w:r>
    </w:p>
    <w:p>
      <w:pPr>
        <w:numPr>
          <w:ilvl w:val="0"/>
          <w:numId w:val="0"/>
        </w:numPr>
        <w:ind w:firstLine="420" w:firstLineChars="0"/>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交通运输。</w:t>
      </w:r>
      <w:r>
        <w:rPr>
          <w:rFonts w:hint="eastAsia" w:ascii="仿宋" w:hAnsi="仿宋" w:eastAsia="仿宋" w:cs="仿宋"/>
          <w:b w:val="0"/>
          <w:bCs w:val="0"/>
          <w:sz w:val="28"/>
          <w:szCs w:val="28"/>
          <w:lang w:val="en-US" w:eastAsia="zh-CN"/>
        </w:rPr>
        <w:t>2000-2017年间，交通部门的能源消费增长约45%，占最终能源消费总量的近29%。交通部门能耗的增长反映了在用汽车数量的增长，以及航空和航运活动的提升。</w:t>
      </w:r>
    </w:p>
    <w:p>
      <w:pPr>
        <w:numPr>
          <w:ilvl w:val="0"/>
          <w:numId w:val="0"/>
        </w:numPr>
        <w:rPr>
          <w:rFonts w:hint="eastAsia" w:ascii="仿宋" w:hAnsi="仿宋" w:eastAsia="仿宋" w:cs="仿宋"/>
          <w:b w:val="0"/>
          <w:bCs w:val="0"/>
          <w:sz w:val="28"/>
          <w:szCs w:val="28"/>
          <w:lang w:val="en-US" w:eastAsia="zh-CN"/>
        </w:rPr>
      </w:pPr>
    </w:p>
    <w:p>
      <w:pPr>
        <w:numPr>
          <w:ilvl w:val="0"/>
          <w:numId w:val="0"/>
        </w:numPr>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译自：Renewable 2019 Global Status Report, June 2019 by REN 21</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snapToGrid w:val="0"/>
        <w:rPr>
          <w:rFonts w:hint="default" w:eastAsiaTheme="minorEastAsia"/>
          <w:lang w:val="en-US" w:eastAsia="zh-CN"/>
        </w:rPr>
      </w:pPr>
      <w:r>
        <w:rPr>
          <w:rStyle w:val="8"/>
        </w:rPr>
        <w:footnoteRef/>
      </w:r>
      <w:r>
        <w:t xml:space="preserve"> </w:t>
      </w:r>
      <w:r>
        <w:rPr>
          <w:rFonts w:hint="eastAsia"/>
          <w:lang w:eastAsia="zh-CN"/>
        </w:rPr>
        <w:t>可变可再生能源（</w:t>
      </w:r>
      <w:r>
        <w:rPr>
          <w:rFonts w:hint="eastAsia"/>
          <w:lang w:val="en-US" w:eastAsia="zh-CN"/>
        </w:rPr>
        <w:t>Variable Renewable Energy)，简称VRE，主要指风电光伏等因其天然属性而具有波动特性且不可调度的可再生能源。</w:t>
      </w:r>
    </w:p>
  </w:footnote>
  <w:footnote w:id="1">
    <w:p>
      <w:pPr>
        <w:pStyle w:val="4"/>
        <w:snapToGrid w:val="0"/>
        <w:rPr>
          <w:rFonts w:hint="eastAsia" w:eastAsiaTheme="minorEastAsia"/>
          <w:lang w:eastAsia="zh-CN"/>
        </w:rPr>
      </w:pPr>
      <w:r>
        <w:rPr>
          <w:rStyle w:val="8"/>
        </w:rPr>
        <w:footnoteRef/>
      </w:r>
      <w:r>
        <w:t xml:space="preserve"> </w:t>
      </w:r>
      <w:r>
        <w:rPr>
          <w:rFonts w:hint="eastAsia"/>
          <w:lang w:eastAsia="zh-CN"/>
        </w:rPr>
        <w:t>现代可再生能源是指水力发电、生物质发电和热利用、风力发电、光伏、地热发电和热利用、生物燃料等。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14B0CE"/>
    <w:multiLevelType w:val="singleLevel"/>
    <w:tmpl w:val="8814B0CE"/>
    <w:lvl w:ilvl="0" w:tentative="0">
      <w:start w:val="1"/>
      <w:numFmt w:val="chineseCounting"/>
      <w:suff w:val="nothing"/>
      <w:lvlText w:val="%1、"/>
      <w:lvlJc w:val="left"/>
      <w:rPr>
        <w:rFonts w:hint="eastAsia"/>
      </w:rPr>
    </w:lvl>
  </w:abstractNum>
  <w:abstractNum w:abstractNumId="1">
    <w:nsid w:val="D34278AC"/>
    <w:multiLevelType w:val="singleLevel"/>
    <w:tmpl w:val="D34278AC"/>
    <w:lvl w:ilvl="0" w:tentative="0">
      <w:start w:val="1"/>
      <w:numFmt w:val="decimal"/>
      <w:suff w:val="space"/>
      <w:lvlText w:val="%1."/>
      <w:lvlJc w:val="left"/>
    </w:lvl>
  </w:abstractNum>
  <w:abstractNum w:abstractNumId="2">
    <w:nsid w:val="49D6B1B7"/>
    <w:multiLevelType w:val="singleLevel"/>
    <w:tmpl w:val="49D6B1B7"/>
    <w:lvl w:ilvl="0" w:tentative="0">
      <w:start w:val="1"/>
      <w:numFmt w:val="decimal"/>
      <w:suff w:val="space"/>
      <w:lvlText w:val="%1."/>
      <w:lvlJc w:val="left"/>
    </w:lvl>
  </w:abstractNum>
  <w:abstractNum w:abstractNumId="3">
    <w:nsid w:val="613EF6C3"/>
    <w:multiLevelType w:val="singleLevel"/>
    <w:tmpl w:val="613EF6C3"/>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642321"/>
    <w:rsid w:val="0101192E"/>
    <w:rsid w:val="0376587D"/>
    <w:rsid w:val="03CC3D16"/>
    <w:rsid w:val="04DD0122"/>
    <w:rsid w:val="0575328C"/>
    <w:rsid w:val="0628431F"/>
    <w:rsid w:val="071A6197"/>
    <w:rsid w:val="09642321"/>
    <w:rsid w:val="0A6F1912"/>
    <w:rsid w:val="0C7236A9"/>
    <w:rsid w:val="0D521F2A"/>
    <w:rsid w:val="10813A87"/>
    <w:rsid w:val="1118792F"/>
    <w:rsid w:val="1153693D"/>
    <w:rsid w:val="11C91F45"/>
    <w:rsid w:val="13315513"/>
    <w:rsid w:val="145E67A5"/>
    <w:rsid w:val="16541BE6"/>
    <w:rsid w:val="1D0C4AB1"/>
    <w:rsid w:val="1E915A74"/>
    <w:rsid w:val="1F1925EC"/>
    <w:rsid w:val="22536246"/>
    <w:rsid w:val="24312A31"/>
    <w:rsid w:val="26DB58F8"/>
    <w:rsid w:val="28662DDF"/>
    <w:rsid w:val="2A073CFE"/>
    <w:rsid w:val="2A09669E"/>
    <w:rsid w:val="2F837573"/>
    <w:rsid w:val="30BA6C5E"/>
    <w:rsid w:val="346A18CA"/>
    <w:rsid w:val="37F55414"/>
    <w:rsid w:val="38D73546"/>
    <w:rsid w:val="392C41A2"/>
    <w:rsid w:val="3B8E080C"/>
    <w:rsid w:val="3DDE28AB"/>
    <w:rsid w:val="3EA852B0"/>
    <w:rsid w:val="3FFB4294"/>
    <w:rsid w:val="403C3B61"/>
    <w:rsid w:val="46667ECC"/>
    <w:rsid w:val="4A9E35A1"/>
    <w:rsid w:val="4AC6241C"/>
    <w:rsid w:val="4B7C7B89"/>
    <w:rsid w:val="4CE51CCA"/>
    <w:rsid w:val="4EF85E98"/>
    <w:rsid w:val="53BE5F37"/>
    <w:rsid w:val="542F1D68"/>
    <w:rsid w:val="55B94C3D"/>
    <w:rsid w:val="56C361CA"/>
    <w:rsid w:val="5835061B"/>
    <w:rsid w:val="589B66BE"/>
    <w:rsid w:val="59003A44"/>
    <w:rsid w:val="5B824694"/>
    <w:rsid w:val="5BB06269"/>
    <w:rsid w:val="5F2A057F"/>
    <w:rsid w:val="610F61FE"/>
    <w:rsid w:val="64725056"/>
    <w:rsid w:val="64E26B4D"/>
    <w:rsid w:val="65755BC1"/>
    <w:rsid w:val="68EC1E2D"/>
    <w:rsid w:val="6928149E"/>
    <w:rsid w:val="6C2E2416"/>
    <w:rsid w:val="6C733971"/>
    <w:rsid w:val="6C94480E"/>
    <w:rsid w:val="71CD76B5"/>
    <w:rsid w:val="73492F97"/>
    <w:rsid w:val="73E33A38"/>
    <w:rsid w:val="78ED57C0"/>
    <w:rsid w:val="7A5E4937"/>
    <w:rsid w:val="7AF8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note text"/>
    <w:basedOn w:val="1"/>
    <w:qFormat/>
    <w:uiPriority w:val="0"/>
    <w:pPr>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otnote reference"/>
    <w:basedOn w:val="7"/>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83</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2020-08-14T02:02:00Z</dcterms:created>
  <dc:creator>Administrator</dc:creator>
  <cp:lastModifiedBy>Administrator</cp:lastModifiedBy>
  <dcterms:modified xsi:type="dcterms:W3CDTF">2020-12-03T06:46:54Z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